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EA6E7" w14:textId="3E547106" w:rsidR="00347904" w:rsidRPr="005418F1" w:rsidRDefault="006618A0" w:rsidP="00347904">
      <w:r>
        <w:t xml:space="preserve">This </w:t>
      </w:r>
      <w:r w:rsidR="00FC18AB">
        <w:t xml:space="preserve">literature discussion is in honor of the work of Gary J. </w:t>
      </w:r>
      <w:proofErr w:type="spellStart"/>
      <w:r w:rsidR="00FC18AB">
        <w:t>Schrobilgen</w:t>
      </w:r>
      <w:proofErr w:type="spellEnd"/>
      <w:r w:rsidR="00FC18AB">
        <w:t xml:space="preserve">, winner of the 2025 </w:t>
      </w:r>
      <w:r w:rsidR="00FC18AB" w:rsidRPr="00FC18AB">
        <w:t>M. Frederick Hawthorne Award in Main Group Inorganic Chemistry</w:t>
      </w:r>
      <w:r w:rsidR="00FC18AB">
        <w:t xml:space="preserve"> for “</w:t>
      </w:r>
      <w:r w:rsidR="00FC18AB" w:rsidRPr="00FC18AB">
        <w:t>advances in the synthetic chemistries of Group 13–18 elements that encompass strong oxidizers; hypervalent, high-oxidation-state species; and ring, cage, and cluster polyatomic anions</w:t>
      </w:r>
      <w:r w:rsidR="00FC18AB">
        <w:t>” (</w:t>
      </w:r>
      <w:hyperlink r:id="rId8" w:history="1">
        <w:r w:rsidR="00FC18AB" w:rsidRPr="00041422">
          <w:rPr>
            <w:rStyle w:val="Hyperlink"/>
          </w:rPr>
          <w:t>https://cen.acs.org/articles/103/i1/2025-ACS-National-Award-winners-Part-V.html</w:t>
        </w:r>
      </w:hyperlink>
      <w:r w:rsidR="00FC18AB">
        <w:t xml:space="preserve"> accessed 1/22/2025). While there are many possible papers to choose from, we will be looking at a paper in which he reports several adducts of XeO</w:t>
      </w:r>
      <w:r w:rsidR="00FC18AB">
        <w:rPr>
          <w:vertAlign w:val="subscript"/>
        </w:rPr>
        <w:t>3</w:t>
      </w:r>
      <w:r w:rsidR="00347904">
        <w:t xml:space="preserve"> </w:t>
      </w:r>
      <w:r w:rsidR="008B338E">
        <w:t>(</w:t>
      </w:r>
      <w:r w:rsidR="00FC18AB">
        <w:rPr>
          <w:i/>
          <w:iCs/>
        </w:rPr>
        <w:t>Chem. Eur. J.</w:t>
      </w:r>
      <w:r>
        <w:t xml:space="preserve"> </w:t>
      </w:r>
      <w:r>
        <w:rPr>
          <w:b/>
          <w:bCs/>
        </w:rPr>
        <w:t>20</w:t>
      </w:r>
      <w:r w:rsidR="00FC18AB">
        <w:rPr>
          <w:b/>
          <w:bCs/>
        </w:rPr>
        <w:t>19</w:t>
      </w:r>
      <w:r>
        <w:t xml:space="preserve">, </w:t>
      </w:r>
      <w:r w:rsidR="00FC18AB">
        <w:rPr>
          <w:i/>
          <w:iCs/>
        </w:rPr>
        <w:t>25</w:t>
      </w:r>
      <w:r>
        <w:t xml:space="preserve">, </w:t>
      </w:r>
      <w:r w:rsidR="00FC18AB">
        <w:t>12357</w:t>
      </w:r>
      <w:r w:rsidR="005418F1">
        <w:t>)</w:t>
      </w:r>
      <w:r>
        <w:t xml:space="preserve">. </w:t>
      </w:r>
    </w:p>
    <w:p w14:paraId="3785CAA1" w14:textId="77777777" w:rsidR="00347904" w:rsidRDefault="00347904" w:rsidP="000822F1"/>
    <w:p w14:paraId="22BB4CBF" w14:textId="1370D266" w:rsidR="006E64CC" w:rsidRDefault="00B53FC4" w:rsidP="000822F1">
      <w:pPr>
        <w:numPr>
          <w:ilvl w:val="0"/>
          <w:numId w:val="1"/>
        </w:numPr>
      </w:pPr>
      <w:r>
        <w:t>Let’s begin by reading the first paragraph of the introduction. This might be one of the first times you have encountered a compound containing a noble gas. Yes, they do exist. Let’s start by drawing all of the possible resonance structures of XeO</w:t>
      </w:r>
      <w:r>
        <w:rPr>
          <w:vertAlign w:val="subscript"/>
        </w:rPr>
        <w:t>3</w:t>
      </w:r>
      <w:r>
        <w:t xml:space="preserve">. Be sure to indicate the formal charge on each atom and the molecular geometry. </w:t>
      </w:r>
    </w:p>
    <w:p w14:paraId="5228D85F" w14:textId="77777777" w:rsidR="00DD2613" w:rsidRDefault="00DD2613" w:rsidP="006E64CC">
      <w:pPr>
        <w:ind w:left="720"/>
      </w:pPr>
    </w:p>
    <w:p w14:paraId="3D32105B" w14:textId="3520EA2C" w:rsidR="00D9476F" w:rsidRDefault="00AA2DCE" w:rsidP="00D9476F">
      <w:pPr>
        <w:numPr>
          <w:ilvl w:val="0"/>
          <w:numId w:val="1"/>
        </w:numPr>
      </w:pPr>
      <w:r>
        <w:t>Look up the electronegativity values for oxygen and xenon. Based on these values, describe the polarity in the Xe-O bonds.</w:t>
      </w:r>
    </w:p>
    <w:p w14:paraId="44AA39A4" w14:textId="77777777" w:rsidR="00D9476F" w:rsidRDefault="00D9476F" w:rsidP="00D9476F">
      <w:pPr>
        <w:ind w:left="720"/>
      </w:pPr>
    </w:p>
    <w:p w14:paraId="0F417E87" w14:textId="2542908F" w:rsidR="00EC17DA" w:rsidRDefault="00AA2DCE" w:rsidP="000822F1">
      <w:pPr>
        <w:numPr>
          <w:ilvl w:val="0"/>
          <w:numId w:val="1"/>
        </w:numPr>
      </w:pPr>
      <w:r>
        <w:t>Using the electronegativity values, estimate the percent ionic character in these bonds.</w:t>
      </w:r>
    </w:p>
    <w:p w14:paraId="5E9FC23B" w14:textId="77777777" w:rsidR="00EC17DA" w:rsidRDefault="00EC17DA" w:rsidP="00EC17DA">
      <w:pPr>
        <w:ind w:left="720"/>
      </w:pPr>
    </w:p>
    <w:p w14:paraId="4370970F" w14:textId="24297204" w:rsidR="003E2129" w:rsidRDefault="00B85FD9" w:rsidP="000822F1">
      <w:pPr>
        <w:numPr>
          <w:ilvl w:val="0"/>
          <w:numId w:val="1"/>
        </w:numPr>
      </w:pPr>
      <w:r>
        <w:t>Which resonance structure(s) in question 1 do you like the best? Why?</w:t>
      </w:r>
    </w:p>
    <w:p w14:paraId="61577628" w14:textId="735CBB2A" w:rsidR="003E2129" w:rsidRDefault="003E2129" w:rsidP="003E2129">
      <w:pPr>
        <w:ind w:left="720"/>
      </w:pPr>
    </w:p>
    <w:p w14:paraId="557FFF4E" w14:textId="1BEC889B" w:rsidR="00314BA7" w:rsidRDefault="0011397C" w:rsidP="000822F1">
      <w:pPr>
        <w:numPr>
          <w:ilvl w:val="0"/>
          <w:numId w:val="1"/>
        </w:numPr>
      </w:pPr>
      <w:r>
        <w:t>The authors state that “solid XeO</w:t>
      </w:r>
      <w:r>
        <w:rPr>
          <w:vertAlign w:val="subscript"/>
        </w:rPr>
        <w:t>3</w:t>
      </w:r>
      <w:r>
        <w:t xml:space="preserve"> readily detonates when subjected to mild mechanical or thermal shock, decomposing to Xe and O</w:t>
      </w:r>
      <w:r>
        <w:rPr>
          <w:vertAlign w:val="subscript"/>
        </w:rPr>
        <w:t>2</w:t>
      </w:r>
      <w:r>
        <w:t xml:space="preserve"> gases with the liberation of 402 </w:t>
      </w:r>
      <w:r>
        <w:rPr>
          <w:u w:val="single"/>
        </w:rPr>
        <w:t>+</w:t>
      </w:r>
      <w:r>
        <w:t xml:space="preserve"> 8 kJ mol</w:t>
      </w:r>
      <w:r>
        <w:rPr>
          <w:vertAlign w:val="superscript"/>
        </w:rPr>
        <w:t>-1</w:t>
      </w:r>
      <w:r>
        <w:t xml:space="preserve"> of energy”. Write a balanced chemical equation for this decomposition reaction. The </w:t>
      </w:r>
      <w:proofErr w:type="spellStart"/>
      <w:r>
        <w:t>ΔH</w:t>
      </w:r>
      <w:r>
        <w:rPr>
          <w:vertAlign w:val="subscript"/>
        </w:rPr>
        <w:t>f</w:t>
      </w:r>
      <w:proofErr w:type="spellEnd"/>
      <w:r>
        <w:t xml:space="preserve"> for XeO</w:t>
      </w:r>
      <w:r>
        <w:rPr>
          <w:vertAlign w:val="subscript"/>
        </w:rPr>
        <w:t>3</w:t>
      </w:r>
      <w:r>
        <w:t xml:space="preserve"> was determined to be -402 kJ mol</w:t>
      </w:r>
      <w:r>
        <w:rPr>
          <w:vertAlign w:val="superscript"/>
        </w:rPr>
        <w:t>-1</w:t>
      </w:r>
      <w:r>
        <w:t>. The O=O bond energy is 494 kJ mol</w:t>
      </w:r>
      <w:r>
        <w:rPr>
          <w:vertAlign w:val="superscript"/>
        </w:rPr>
        <w:t>-1</w:t>
      </w:r>
      <w:r>
        <w:t>. Estimate the Xe-O bond energy in XeO</w:t>
      </w:r>
      <w:r>
        <w:rPr>
          <w:vertAlign w:val="subscript"/>
        </w:rPr>
        <w:t>3</w:t>
      </w:r>
      <w:r>
        <w:t>.</w:t>
      </w:r>
    </w:p>
    <w:p w14:paraId="2024416A" w14:textId="77777777" w:rsidR="0011397C" w:rsidRDefault="0011397C" w:rsidP="00636EF8"/>
    <w:p w14:paraId="67DD8412" w14:textId="468EEC00" w:rsidR="000860EB" w:rsidRDefault="00E23219" w:rsidP="000860EB">
      <w:pPr>
        <w:numPr>
          <w:ilvl w:val="0"/>
          <w:numId w:val="1"/>
        </w:numPr>
      </w:pPr>
      <w:r>
        <w:t>Reread the first paragraph of the introduction and read the first three sentences of the second paragraph of the introduction. The authors state that XeO</w:t>
      </w:r>
      <w:r>
        <w:rPr>
          <w:vertAlign w:val="subscript"/>
        </w:rPr>
        <w:t>3</w:t>
      </w:r>
      <w:r>
        <w:t xml:space="preserve"> forms a network structure in the solid state. In your own words, how this network is forming. </w:t>
      </w:r>
    </w:p>
    <w:p w14:paraId="0B58C3F5" w14:textId="67624347" w:rsidR="000860EB" w:rsidRDefault="000860EB" w:rsidP="000860EB">
      <w:pPr>
        <w:ind w:left="720"/>
      </w:pPr>
    </w:p>
    <w:p w14:paraId="0D130530" w14:textId="4DDE62F6" w:rsidR="00893688" w:rsidRDefault="00893688" w:rsidP="00893688">
      <w:pPr>
        <w:numPr>
          <w:ilvl w:val="0"/>
          <w:numId w:val="1"/>
        </w:numPr>
      </w:pPr>
      <w:r>
        <w:t>Read through the synthesis portion of the results and discussion section. You may notice many terms that indicate how challenging this chemistry was to perform. For now, we will focus on the [(CH</w:t>
      </w:r>
      <w:r>
        <w:rPr>
          <w:vertAlign w:val="subscript"/>
        </w:rPr>
        <w:t>3</w:t>
      </w:r>
      <w:r>
        <w:t>)</w:t>
      </w:r>
      <w:r>
        <w:rPr>
          <w:vertAlign w:val="subscript"/>
        </w:rPr>
        <w:t>2</w:t>
      </w:r>
      <w:r>
        <w:t>CO]</w:t>
      </w:r>
      <w:r>
        <w:rPr>
          <w:vertAlign w:val="subscript"/>
        </w:rPr>
        <w:t>3</w:t>
      </w:r>
      <w:r>
        <w:t>XeO</w:t>
      </w:r>
      <w:r>
        <w:rPr>
          <w:vertAlign w:val="subscript"/>
        </w:rPr>
        <w:t>3</w:t>
      </w:r>
      <w:r>
        <w:t xml:space="preserve"> compound which is compound </w:t>
      </w:r>
      <w:r>
        <w:rPr>
          <w:b/>
          <w:bCs/>
        </w:rPr>
        <w:t>1</w:t>
      </w:r>
      <w:r>
        <w:t xml:space="preserve"> in the paper. This is formed by the slow evaporation of an acetone solution of XeO</w:t>
      </w:r>
      <w:r>
        <w:rPr>
          <w:vertAlign w:val="subscript"/>
        </w:rPr>
        <w:t>3</w:t>
      </w:r>
      <w:r>
        <w:t>. Draw the structure of (CH</w:t>
      </w:r>
      <w:r>
        <w:rPr>
          <w:vertAlign w:val="subscript"/>
        </w:rPr>
        <w:t>3</w:t>
      </w:r>
      <w:r>
        <w:t>)</w:t>
      </w:r>
      <w:r>
        <w:rPr>
          <w:vertAlign w:val="subscript"/>
        </w:rPr>
        <w:t>2</w:t>
      </w:r>
      <w:r>
        <w:t xml:space="preserve">CO and suggest how it might interact with the Xe atom to form compound </w:t>
      </w:r>
      <w:r>
        <w:rPr>
          <w:b/>
          <w:bCs/>
        </w:rPr>
        <w:t>1</w:t>
      </w:r>
      <w:r>
        <w:t>.</w:t>
      </w:r>
    </w:p>
    <w:p w14:paraId="5AE35023" w14:textId="5D864147" w:rsidR="009F64A0" w:rsidRDefault="009F64A0" w:rsidP="009F64A0">
      <w:pPr>
        <w:ind w:left="720"/>
      </w:pPr>
    </w:p>
    <w:p w14:paraId="4CF2B38C" w14:textId="77777777" w:rsidR="00893688" w:rsidRDefault="00893688" w:rsidP="009F64A0">
      <w:pPr>
        <w:ind w:left="720"/>
      </w:pPr>
    </w:p>
    <w:p w14:paraId="58BA2094" w14:textId="0E736A1A" w:rsidR="005D6CB4" w:rsidRDefault="0010361F" w:rsidP="005D6CB4">
      <w:pPr>
        <w:numPr>
          <w:ilvl w:val="0"/>
          <w:numId w:val="1"/>
        </w:numPr>
      </w:pPr>
      <w:r>
        <w:lastRenderedPageBreak/>
        <w:t xml:space="preserve">The crystal structure of compound </w:t>
      </w:r>
      <w:r>
        <w:rPr>
          <w:b/>
          <w:bCs/>
        </w:rPr>
        <w:t>1</w:t>
      </w:r>
      <w:r>
        <w:t xml:space="preserve"> was determined and can be seen below. Determined the point group of </w:t>
      </w:r>
      <w:proofErr w:type="gramStart"/>
      <w:r>
        <w:t>compound</w:t>
      </w:r>
      <w:proofErr w:type="gramEnd"/>
      <w:r>
        <w:t xml:space="preserve"> </w:t>
      </w:r>
      <w:r>
        <w:rPr>
          <w:b/>
          <w:bCs/>
        </w:rPr>
        <w:t>1</w:t>
      </w:r>
      <w:r>
        <w:t>.</w:t>
      </w:r>
    </w:p>
    <w:p w14:paraId="0E3118AC" w14:textId="77777777" w:rsidR="0010361F" w:rsidRDefault="0010361F" w:rsidP="0010361F">
      <w:pPr>
        <w:ind w:left="720"/>
      </w:pPr>
    </w:p>
    <w:p w14:paraId="7A45B1F3" w14:textId="27EC9B18" w:rsidR="0010361F" w:rsidRDefault="0010361F" w:rsidP="0010361F">
      <w:pPr>
        <w:ind w:left="720"/>
        <w:jc w:val="center"/>
      </w:pPr>
      <w:r>
        <w:t xml:space="preserve">[insert Figure 1 compound </w:t>
      </w:r>
      <w:r>
        <w:rPr>
          <w:b/>
          <w:bCs/>
        </w:rPr>
        <w:t>1</w:t>
      </w:r>
      <w:r>
        <w:t xml:space="preserve"> here] </w:t>
      </w:r>
    </w:p>
    <w:p w14:paraId="1ECA2A0D" w14:textId="77777777" w:rsidR="005D6CB4" w:rsidRDefault="005D6CB4" w:rsidP="005D6CB4">
      <w:pPr>
        <w:rPr>
          <w:color w:val="FF0000"/>
        </w:rPr>
      </w:pPr>
    </w:p>
    <w:p w14:paraId="08548036" w14:textId="5860930B" w:rsidR="004B2159" w:rsidRDefault="001716E4" w:rsidP="004B2159">
      <w:pPr>
        <w:numPr>
          <w:ilvl w:val="0"/>
          <w:numId w:val="1"/>
        </w:numPr>
      </w:pPr>
      <w:r>
        <w:t>The authors examine the Raman spectra of their compounds. Raman spectroscopy is often seen as being complementary to IR spectroscopy as both investigate vibrations within a molecule. In some cases, vibrations can be active in both IR and Raman spectroscopy, but many times, vibrations are only active in one or the other. In general, IR-active vibrations result in a net change in the dipole of the molecule whereas Raman-active vibration results in a change in the polarizability of the molecule. To get a slightly better feel for this, let’s consider the atmospheric pollutant CO</w:t>
      </w:r>
      <w:r>
        <w:rPr>
          <w:vertAlign w:val="subscript"/>
        </w:rPr>
        <w:t>2</w:t>
      </w:r>
      <w:r>
        <w:t xml:space="preserve">. It is linear and would have </w:t>
      </w:r>
      <w:proofErr w:type="spellStart"/>
      <w:r>
        <w:t>D</w:t>
      </w:r>
      <w:r>
        <w:rPr>
          <w:vertAlign w:val="subscript"/>
        </w:rPr>
        <w:t>∞h</w:t>
      </w:r>
      <w:proofErr w:type="spellEnd"/>
      <w:r>
        <w:t xml:space="preserve"> symmetry, but for this example we can treat it as D</w:t>
      </w:r>
      <w:r>
        <w:rPr>
          <w:vertAlign w:val="subscript"/>
        </w:rPr>
        <w:t>2h</w:t>
      </w:r>
      <w:r>
        <w:t>. Shown below is the D</w:t>
      </w:r>
      <w:r>
        <w:rPr>
          <w:vertAlign w:val="subscript"/>
        </w:rPr>
        <w:t>2h</w:t>
      </w:r>
      <w:r>
        <w:t xml:space="preserve"> character table. Determine the irreducible representations for </w:t>
      </w:r>
      <w:r w:rsidR="00A84286">
        <w:t>the IR-active (linear functions of x, y and/or z) and Raman-active (quadratic functions with combinations of x, y and z) vibrations in CO</w:t>
      </w:r>
      <w:r w:rsidR="00A84286">
        <w:rPr>
          <w:vertAlign w:val="subscript"/>
        </w:rPr>
        <w:t>2</w:t>
      </w:r>
      <w:r w:rsidR="00A84286">
        <w:t>.</w:t>
      </w:r>
    </w:p>
    <w:p w14:paraId="75FA44FB" w14:textId="1D35576C" w:rsidR="004B2159" w:rsidRDefault="004B2159" w:rsidP="004B2159">
      <w:pPr>
        <w:ind w:left="720"/>
      </w:pPr>
    </w:p>
    <w:tbl>
      <w:tblPr>
        <w:tblStyle w:val="TableGrid"/>
        <w:tblW w:w="0" w:type="auto"/>
        <w:tblInd w:w="720" w:type="dxa"/>
        <w:tblLook w:val="04A0" w:firstRow="1" w:lastRow="0" w:firstColumn="1" w:lastColumn="0" w:noHBand="0" w:noVBand="1"/>
      </w:tblPr>
      <w:tblGrid>
        <w:gridCol w:w="692"/>
        <w:gridCol w:w="660"/>
        <w:gridCol w:w="677"/>
        <w:gridCol w:w="677"/>
        <w:gridCol w:w="677"/>
        <w:gridCol w:w="657"/>
        <w:gridCol w:w="685"/>
        <w:gridCol w:w="683"/>
        <w:gridCol w:w="683"/>
        <w:gridCol w:w="763"/>
        <w:gridCol w:w="1056"/>
      </w:tblGrid>
      <w:tr w:rsidR="00A84286" w14:paraId="119403FA" w14:textId="2C79F977" w:rsidTr="00A84286">
        <w:tc>
          <w:tcPr>
            <w:tcW w:w="700" w:type="dxa"/>
          </w:tcPr>
          <w:p w14:paraId="2E820E7D" w14:textId="434FF3CA" w:rsidR="00A84286" w:rsidRPr="00A84286" w:rsidRDefault="00A84286" w:rsidP="004B2159">
            <w:pPr>
              <w:rPr>
                <w:vertAlign w:val="subscript"/>
              </w:rPr>
            </w:pPr>
            <w:r>
              <w:t>D</w:t>
            </w:r>
            <w:r>
              <w:rPr>
                <w:vertAlign w:val="subscript"/>
              </w:rPr>
              <w:t>2h</w:t>
            </w:r>
          </w:p>
        </w:tc>
        <w:tc>
          <w:tcPr>
            <w:tcW w:w="675" w:type="dxa"/>
          </w:tcPr>
          <w:p w14:paraId="4E728FAD" w14:textId="6D486A31" w:rsidR="00A84286" w:rsidRDefault="00A84286" w:rsidP="00A84286">
            <w:pPr>
              <w:jc w:val="center"/>
            </w:pPr>
            <w:r>
              <w:t>E</w:t>
            </w:r>
          </w:p>
        </w:tc>
        <w:tc>
          <w:tcPr>
            <w:tcW w:w="688" w:type="dxa"/>
          </w:tcPr>
          <w:p w14:paraId="1BFEB784" w14:textId="347CF35F" w:rsidR="00A84286" w:rsidRPr="00A84286" w:rsidRDefault="00A84286" w:rsidP="00A84286">
            <w:pPr>
              <w:jc w:val="center"/>
            </w:pPr>
            <w:r>
              <w:t>C</w:t>
            </w:r>
            <w:r>
              <w:rPr>
                <w:vertAlign w:val="subscript"/>
              </w:rPr>
              <w:t>2</w:t>
            </w:r>
            <w:r>
              <w:t xml:space="preserve"> z</w:t>
            </w:r>
          </w:p>
        </w:tc>
        <w:tc>
          <w:tcPr>
            <w:tcW w:w="688" w:type="dxa"/>
          </w:tcPr>
          <w:p w14:paraId="15D30A5D" w14:textId="03B7D498" w:rsidR="00A84286" w:rsidRPr="00A84286" w:rsidRDefault="00A84286" w:rsidP="00A84286">
            <w:pPr>
              <w:jc w:val="center"/>
            </w:pPr>
            <w:r>
              <w:t>C</w:t>
            </w:r>
            <w:r>
              <w:rPr>
                <w:vertAlign w:val="subscript"/>
              </w:rPr>
              <w:t>2</w:t>
            </w:r>
            <w:r>
              <w:t xml:space="preserve"> y</w:t>
            </w:r>
          </w:p>
        </w:tc>
        <w:tc>
          <w:tcPr>
            <w:tcW w:w="688" w:type="dxa"/>
          </w:tcPr>
          <w:p w14:paraId="5C41493B" w14:textId="67C37FD2" w:rsidR="00A84286" w:rsidRPr="00A84286" w:rsidRDefault="00A84286" w:rsidP="00A84286">
            <w:pPr>
              <w:jc w:val="center"/>
            </w:pPr>
            <w:r>
              <w:t>C</w:t>
            </w:r>
            <w:r>
              <w:rPr>
                <w:vertAlign w:val="subscript"/>
              </w:rPr>
              <w:t>2</w:t>
            </w:r>
            <w:r>
              <w:t xml:space="preserve"> x</w:t>
            </w:r>
          </w:p>
        </w:tc>
        <w:tc>
          <w:tcPr>
            <w:tcW w:w="674" w:type="dxa"/>
          </w:tcPr>
          <w:p w14:paraId="4FA34628" w14:textId="208A3745" w:rsidR="00A84286" w:rsidRDefault="00A84286" w:rsidP="00A84286">
            <w:pPr>
              <w:jc w:val="center"/>
            </w:pPr>
            <w:proofErr w:type="spellStart"/>
            <w:r>
              <w:t>i</w:t>
            </w:r>
            <w:proofErr w:type="spellEnd"/>
          </w:p>
        </w:tc>
        <w:tc>
          <w:tcPr>
            <w:tcW w:w="694" w:type="dxa"/>
          </w:tcPr>
          <w:p w14:paraId="45C751AF" w14:textId="1BB59714" w:rsidR="00A84286" w:rsidRDefault="00A84286" w:rsidP="00A84286">
            <w:pPr>
              <w:jc w:val="center"/>
            </w:pPr>
            <w:proofErr w:type="spellStart"/>
            <w:r>
              <w:t>σ</w:t>
            </w:r>
            <w:r w:rsidRPr="00A84286">
              <w:rPr>
                <w:vertAlign w:val="subscript"/>
              </w:rPr>
              <w:t>xy</w:t>
            </w:r>
            <w:proofErr w:type="spellEnd"/>
          </w:p>
        </w:tc>
        <w:tc>
          <w:tcPr>
            <w:tcW w:w="693" w:type="dxa"/>
          </w:tcPr>
          <w:p w14:paraId="0A9588A9" w14:textId="2071A5A5" w:rsidR="00A84286" w:rsidRDefault="00A84286" w:rsidP="00A84286">
            <w:pPr>
              <w:jc w:val="center"/>
            </w:pPr>
            <w:proofErr w:type="spellStart"/>
            <w:r>
              <w:t>σ</w:t>
            </w:r>
            <w:r w:rsidRPr="00A84286">
              <w:rPr>
                <w:vertAlign w:val="subscript"/>
              </w:rPr>
              <w:t>xz</w:t>
            </w:r>
            <w:proofErr w:type="spellEnd"/>
          </w:p>
        </w:tc>
        <w:tc>
          <w:tcPr>
            <w:tcW w:w="693" w:type="dxa"/>
          </w:tcPr>
          <w:p w14:paraId="25A865F5" w14:textId="04A5B127" w:rsidR="00A84286" w:rsidRDefault="00A84286" w:rsidP="00A84286">
            <w:pPr>
              <w:jc w:val="center"/>
            </w:pPr>
            <w:proofErr w:type="spellStart"/>
            <w:r>
              <w:t>σ</w:t>
            </w:r>
            <w:r w:rsidRPr="00A84286">
              <w:rPr>
                <w:vertAlign w:val="subscript"/>
              </w:rPr>
              <w:t>yz</w:t>
            </w:r>
            <w:proofErr w:type="spellEnd"/>
          </w:p>
        </w:tc>
        <w:tc>
          <w:tcPr>
            <w:tcW w:w="642" w:type="dxa"/>
          </w:tcPr>
          <w:p w14:paraId="485C2213" w14:textId="5FECC6A0" w:rsidR="00A84286" w:rsidRDefault="00A84286" w:rsidP="00A84286">
            <w:pPr>
              <w:jc w:val="center"/>
            </w:pPr>
            <w:r>
              <w:t>linear</w:t>
            </w:r>
          </w:p>
        </w:tc>
        <w:tc>
          <w:tcPr>
            <w:tcW w:w="1075" w:type="dxa"/>
          </w:tcPr>
          <w:p w14:paraId="5E640918" w14:textId="101BA5FC" w:rsidR="00A84286" w:rsidRDefault="00A84286" w:rsidP="00A84286">
            <w:pPr>
              <w:jc w:val="center"/>
            </w:pPr>
            <w:r>
              <w:t>quad</w:t>
            </w:r>
          </w:p>
        </w:tc>
      </w:tr>
      <w:tr w:rsidR="00A84286" w14:paraId="567234C9" w14:textId="3EBDC6C5" w:rsidTr="00A84286">
        <w:tc>
          <w:tcPr>
            <w:tcW w:w="700" w:type="dxa"/>
          </w:tcPr>
          <w:p w14:paraId="766955D3" w14:textId="7162305D" w:rsidR="00A84286" w:rsidRPr="00A84286" w:rsidRDefault="00A84286" w:rsidP="004B2159">
            <w:pPr>
              <w:rPr>
                <w:vertAlign w:val="subscript"/>
              </w:rPr>
            </w:pPr>
            <w:r>
              <w:t>A</w:t>
            </w:r>
            <w:r>
              <w:rPr>
                <w:vertAlign w:val="subscript"/>
              </w:rPr>
              <w:t>g</w:t>
            </w:r>
          </w:p>
        </w:tc>
        <w:tc>
          <w:tcPr>
            <w:tcW w:w="675" w:type="dxa"/>
          </w:tcPr>
          <w:p w14:paraId="420E6ED9" w14:textId="0FBB8027" w:rsidR="00A84286" w:rsidRDefault="00A84286" w:rsidP="00A84286">
            <w:pPr>
              <w:jc w:val="center"/>
            </w:pPr>
            <w:r>
              <w:t>1</w:t>
            </w:r>
          </w:p>
        </w:tc>
        <w:tc>
          <w:tcPr>
            <w:tcW w:w="688" w:type="dxa"/>
          </w:tcPr>
          <w:p w14:paraId="3EBF4396" w14:textId="08DCF9D7" w:rsidR="00A84286" w:rsidRDefault="00A84286" w:rsidP="00A84286">
            <w:pPr>
              <w:jc w:val="center"/>
            </w:pPr>
            <w:r>
              <w:t>1</w:t>
            </w:r>
          </w:p>
        </w:tc>
        <w:tc>
          <w:tcPr>
            <w:tcW w:w="688" w:type="dxa"/>
          </w:tcPr>
          <w:p w14:paraId="4A90B9A4" w14:textId="49C24AC4" w:rsidR="00A84286" w:rsidRDefault="00A84286" w:rsidP="00A84286">
            <w:pPr>
              <w:jc w:val="center"/>
            </w:pPr>
            <w:r>
              <w:t>1</w:t>
            </w:r>
          </w:p>
        </w:tc>
        <w:tc>
          <w:tcPr>
            <w:tcW w:w="688" w:type="dxa"/>
          </w:tcPr>
          <w:p w14:paraId="2D2EB4DA" w14:textId="1D608041" w:rsidR="00A84286" w:rsidRDefault="00A84286" w:rsidP="00A84286">
            <w:pPr>
              <w:jc w:val="center"/>
            </w:pPr>
            <w:r>
              <w:t>1</w:t>
            </w:r>
          </w:p>
        </w:tc>
        <w:tc>
          <w:tcPr>
            <w:tcW w:w="674" w:type="dxa"/>
          </w:tcPr>
          <w:p w14:paraId="73DCD4BA" w14:textId="532F81C9" w:rsidR="00A84286" w:rsidRDefault="00A84286" w:rsidP="00A84286">
            <w:pPr>
              <w:jc w:val="center"/>
            </w:pPr>
            <w:r>
              <w:t>1</w:t>
            </w:r>
          </w:p>
        </w:tc>
        <w:tc>
          <w:tcPr>
            <w:tcW w:w="694" w:type="dxa"/>
          </w:tcPr>
          <w:p w14:paraId="79D9D2FC" w14:textId="4764CE5F" w:rsidR="00A84286" w:rsidRDefault="00A84286" w:rsidP="00A84286">
            <w:pPr>
              <w:jc w:val="center"/>
            </w:pPr>
            <w:r>
              <w:t>1</w:t>
            </w:r>
          </w:p>
        </w:tc>
        <w:tc>
          <w:tcPr>
            <w:tcW w:w="693" w:type="dxa"/>
          </w:tcPr>
          <w:p w14:paraId="348011A5" w14:textId="014DFE7D" w:rsidR="00A84286" w:rsidRDefault="00A84286" w:rsidP="00A84286">
            <w:pPr>
              <w:jc w:val="center"/>
            </w:pPr>
            <w:r>
              <w:t>1</w:t>
            </w:r>
          </w:p>
        </w:tc>
        <w:tc>
          <w:tcPr>
            <w:tcW w:w="693" w:type="dxa"/>
          </w:tcPr>
          <w:p w14:paraId="3031C9C6" w14:textId="2828AB12" w:rsidR="00A84286" w:rsidRDefault="00A84286" w:rsidP="00A84286">
            <w:pPr>
              <w:jc w:val="center"/>
            </w:pPr>
            <w:r>
              <w:t>1</w:t>
            </w:r>
          </w:p>
        </w:tc>
        <w:tc>
          <w:tcPr>
            <w:tcW w:w="642" w:type="dxa"/>
          </w:tcPr>
          <w:p w14:paraId="01167AD0" w14:textId="77777777" w:rsidR="00A84286" w:rsidRDefault="00A84286" w:rsidP="00A84286">
            <w:pPr>
              <w:jc w:val="center"/>
            </w:pPr>
          </w:p>
        </w:tc>
        <w:tc>
          <w:tcPr>
            <w:tcW w:w="1075" w:type="dxa"/>
          </w:tcPr>
          <w:p w14:paraId="117F405F" w14:textId="15B143BD" w:rsidR="00A84286" w:rsidRPr="00A84286" w:rsidRDefault="00A84286" w:rsidP="00A84286">
            <w:pPr>
              <w:jc w:val="center"/>
              <w:rPr>
                <w:vertAlign w:val="superscript"/>
              </w:rPr>
            </w:pPr>
            <w:r w:rsidRPr="00A84286">
              <w:t>x</w:t>
            </w:r>
            <w:r>
              <w:rPr>
                <w:vertAlign w:val="superscript"/>
              </w:rPr>
              <w:t>2</w:t>
            </w:r>
            <w:r>
              <w:t>, y</w:t>
            </w:r>
            <w:r>
              <w:rPr>
                <w:vertAlign w:val="superscript"/>
              </w:rPr>
              <w:t>2</w:t>
            </w:r>
            <w:r>
              <w:t>, z</w:t>
            </w:r>
            <w:r>
              <w:rPr>
                <w:vertAlign w:val="superscript"/>
              </w:rPr>
              <w:t>2</w:t>
            </w:r>
          </w:p>
        </w:tc>
      </w:tr>
      <w:tr w:rsidR="00A84286" w14:paraId="438CE14E" w14:textId="59D536F4" w:rsidTr="00A84286">
        <w:tc>
          <w:tcPr>
            <w:tcW w:w="700" w:type="dxa"/>
          </w:tcPr>
          <w:p w14:paraId="765FD7D6" w14:textId="1A9487D9" w:rsidR="00A84286" w:rsidRPr="00A84286" w:rsidRDefault="00A84286" w:rsidP="004B2159">
            <w:pPr>
              <w:rPr>
                <w:vertAlign w:val="subscript"/>
              </w:rPr>
            </w:pPr>
            <w:r>
              <w:t>B</w:t>
            </w:r>
            <w:r>
              <w:rPr>
                <w:vertAlign w:val="subscript"/>
              </w:rPr>
              <w:t>1g</w:t>
            </w:r>
          </w:p>
        </w:tc>
        <w:tc>
          <w:tcPr>
            <w:tcW w:w="675" w:type="dxa"/>
          </w:tcPr>
          <w:p w14:paraId="55E829B9" w14:textId="27301636" w:rsidR="00A84286" w:rsidRDefault="00A84286" w:rsidP="00A84286">
            <w:pPr>
              <w:jc w:val="center"/>
            </w:pPr>
            <w:r>
              <w:t>1</w:t>
            </w:r>
          </w:p>
        </w:tc>
        <w:tc>
          <w:tcPr>
            <w:tcW w:w="688" w:type="dxa"/>
          </w:tcPr>
          <w:p w14:paraId="46957726" w14:textId="20696681" w:rsidR="00A84286" w:rsidRDefault="00A84286" w:rsidP="00A84286">
            <w:pPr>
              <w:jc w:val="center"/>
            </w:pPr>
            <w:r>
              <w:t>1</w:t>
            </w:r>
          </w:p>
        </w:tc>
        <w:tc>
          <w:tcPr>
            <w:tcW w:w="688" w:type="dxa"/>
          </w:tcPr>
          <w:p w14:paraId="6F08B795" w14:textId="50620BA3" w:rsidR="00A84286" w:rsidRDefault="00A84286" w:rsidP="00A84286">
            <w:pPr>
              <w:jc w:val="center"/>
            </w:pPr>
            <w:r>
              <w:t>-1</w:t>
            </w:r>
          </w:p>
        </w:tc>
        <w:tc>
          <w:tcPr>
            <w:tcW w:w="688" w:type="dxa"/>
          </w:tcPr>
          <w:p w14:paraId="3C77B39C" w14:textId="15AF37A0" w:rsidR="00A84286" w:rsidRDefault="00A84286" w:rsidP="00A84286">
            <w:pPr>
              <w:jc w:val="center"/>
            </w:pPr>
            <w:r>
              <w:t>-1</w:t>
            </w:r>
          </w:p>
        </w:tc>
        <w:tc>
          <w:tcPr>
            <w:tcW w:w="674" w:type="dxa"/>
          </w:tcPr>
          <w:p w14:paraId="5732317A" w14:textId="6092E13F" w:rsidR="00A84286" w:rsidRDefault="00A84286" w:rsidP="00A84286">
            <w:pPr>
              <w:jc w:val="center"/>
            </w:pPr>
            <w:r>
              <w:t>1</w:t>
            </w:r>
          </w:p>
        </w:tc>
        <w:tc>
          <w:tcPr>
            <w:tcW w:w="694" w:type="dxa"/>
          </w:tcPr>
          <w:p w14:paraId="3BA0EBF0" w14:textId="3B37AB15" w:rsidR="00A84286" w:rsidRDefault="00A84286" w:rsidP="00A84286">
            <w:pPr>
              <w:jc w:val="center"/>
            </w:pPr>
            <w:r>
              <w:t>1</w:t>
            </w:r>
          </w:p>
        </w:tc>
        <w:tc>
          <w:tcPr>
            <w:tcW w:w="693" w:type="dxa"/>
          </w:tcPr>
          <w:p w14:paraId="27882F21" w14:textId="44E3A917" w:rsidR="00A84286" w:rsidRDefault="00A84286" w:rsidP="00A84286">
            <w:pPr>
              <w:jc w:val="center"/>
            </w:pPr>
            <w:r>
              <w:t>-1</w:t>
            </w:r>
          </w:p>
        </w:tc>
        <w:tc>
          <w:tcPr>
            <w:tcW w:w="693" w:type="dxa"/>
          </w:tcPr>
          <w:p w14:paraId="2E84CFC5" w14:textId="1CB59DDF" w:rsidR="00A84286" w:rsidRDefault="00A84286" w:rsidP="00A84286">
            <w:pPr>
              <w:jc w:val="center"/>
            </w:pPr>
            <w:r>
              <w:t>-1</w:t>
            </w:r>
          </w:p>
        </w:tc>
        <w:tc>
          <w:tcPr>
            <w:tcW w:w="642" w:type="dxa"/>
          </w:tcPr>
          <w:p w14:paraId="382376AF" w14:textId="77777777" w:rsidR="00A84286" w:rsidRDefault="00A84286" w:rsidP="00A84286">
            <w:pPr>
              <w:jc w:val="center"/>
            </w:pPr>
          </w:p>
        </w:tc>
        <w:tc>
          <w:tcPr>
            <w:tcW w:w="1075" w:type="dxa"/>
          </w:tcPr>
          <w:p w14:paraId="63AA228E" w14:textId="06329C78" w:rsidR="00A84286" w:rsidRDefault="00A84286" w:rsidP="00A84286">
            <w:pPr>
              <w:jc w:val="center"/>
            </w:pPr>
            <w:proofErr w:type="spellStart"/>
            <w:r>
              <w:t>xy</w:t>
            </w:r>
            <w:proofErr w:type="spellEnd"/>
          </w:p>
        </w:tc>
      </w:tr>
      <w:tr w:rsidR="00A84286" w14:paraId="0DC88240" w14:textId="10FC7B5A" w:rsidTr="00A84286">
        <w:tc>
          <w:tcPr>
            <w:tcW w:w="700" w:type="dxa"/>
          </w:tcPr>
          <w:p w14:paraId="0EAC3CFD" w14:textId="44EAC237" w:rsidR="00A84286" w:rsidRPr="00A84286" w:rsidRDefault="00A84286" w:rsidP="004B2159">
            <w:pPr>
              <w:rPr>
                <w:vertAlign w:val="subscript"/>
              </w:rPr>
            </w:pPr>
            <w:r>
              <w:t>B</w:t>
            </w:r>
            <w:r>
              <w:rPr>
                <w:vertAlign w:val="subscript"/>
              </w:rPr>
              <w:t>2g</w:t>
            </w:r>
          </w:p>
        </w:tc>
        <w:tc>
          <w:tcPr>
            <w:tcW w:w="675" w:type="dxa"/>
          </w:tcPr>
          <w:p w14:paraId="00AC6C9D" w14:textId="7AD0D860" w:rsidR="00A84286" w:rsidRDefault="00A84286" w:rsidP="00A84286">
            <w:pPr>
              <w:jc w:val="center"/>
            </w:pPr>
            <w:r>
              <w:t>1</w:t>
            </w:r>
          </w:p>
        </w:tc>
        <w:tc>
          <w:tcPr>
            <w:tcW w:w="688" w:type="dxa"/>
          </w:tcPr>
          <w:p w14:paraId="71CF6713" w14:textId="5CFA917E" w:rsidR="00A84286" w:rsidRDefault="00A84286" w:rsidP="00A84286">
            <w:pPr>
              <w:jc w:val="center"/>
            </w:pPr>
            <w:r>
              <w:t>-1</w:t>
            </w:r>
          </w:p>
        </w:tc>
        <w:tc>
          <w:tcPr>
            <w:tcW w:w="688" w:type="dxa"/>
          </w:tcPr>
          <w:p w14:paraId="3CB22BE8" w14:textId="5C655AA8" w:rsidR="00A84286" w:rsidRDefault="00A84286" w:rsidP="00A84286">
            <w:pPr>
              <w:jc w:val="center"/>
            </w:pPr>
            <w:r>
              <w:t>1</w:t>
            </w:r>
          </w:p>
        </w:tc>
        <w:tc>
          <w:tcPr>
            <w:tcW w:w="688" w:type="dxa"/>
          </w:tcPr>
          <w:p w14:paraId="1A4B26CB" w14:textId="5700EEB5" w:rsidR="00A84286" w:rsidRDefault="00A84286" w:rsidP="00A84286">
            <w:pPr>
              <w:jc w:val="center"/>
            </w:pPr>
            <w:r>
              <w:t>-1</w:t>
            </w:r>
          </w:p>
        </w:tc>
        <w:tc>
          <w:tcPr>
            <w:tcW w:w="674" w:type="dxa"/>
          </w:tcPr>
          <w:p w14:paraId="501C0679" w14:textId="7DD816EF" w:rsidR="00A84286" w:rsidRDefault="00A84286" w:rsidP="00A84286">
            <w:pPr>
              <w:jc w:val="center"/>
            </w:pPr>
            <w:r>
              <w:t>1</w:t>
            </w:r>
          </w:p>
        </w:tc>
        <w:tc>
          <w:tcPr>
            <w:tcW w:w="694" w:type="dxa"/>
          </w:tcPr>
          <w:p w14:paraId="5E3129CB" w14:textId="790F4D94" w:rsidR="00A84286" w:rsidRDefault="00A84286" w:rsidP="00A84286">
            <w:pPr>
              <w:jc w:val="center"/>
            </w:pPr>
            <w:r>
              <w:t>-1</w:t>
            </w:r>
          </w:p>
        </w:tc>
        <w:tc>
          <w:tcPr>
            <w:tcW w:w="693" w:type="dxa"/>
          </w:tcPr>
          <w:p w14:paraId="1F1D48C9" w14:textId="7E764827" w:rsidR="00A84286" w:rsidRDefault="00A84286" w:rsidP="00A84286">
            <w:pPr>
              <w:jc w:val="center"/>
            </w:pPr>
            <w:r>
              <w:t>1</w:t>
            </w:r>
          </w:p>
        </w:tc>
        <w:tc>
          <w:tcPr>
            <w:tcW w:w="693" w:type="dxa"/>
          </w:tcPr>
          <w:p w14:paraId="417DFA0C" w14:textId="12F02F80" w:rsidR="00A84286" w:rsidRDefault="00A84286" w:rsidP="00A84286">
            <w:pPr>
              <w:jc w:val="center"/>
            </w:pPr>
            <w:r>
              <w:t>-1</w:t>
            </w:r>
          </w:p>
        </w:tc>
        <w:tc>
          <w:tcPr>
            <w:tcW w:w="642" w:type="dxa"/>
          </w:tcPr>
          <w:p w14:paraId="18EE6C96" w14:textId="77777777" w:rsidR="00A84286" w:rsidRDefault="00A84286" w:rsidP="00A84286">
            <w:pPr>
              <w:jc w:val="center"/>
            </w:pPr>
          </w:p>
        </w:tc>
        <w:tc>
          <w:tcPr>
            <w:tcW w:w="1075" w:type="dxa"/>
          </w:tcPr>
          <w:p w14:paraId="4114F666" w14:textId="04BBA4C8" w:rsidR="00A84286" w:rsidRDefault="00A84286" w:rsidP="00A84286">
            <w:pPr>
              <w:jc w:val="center"/>
            </w:pPr>
            <w:proofErr w:type="spellStart"/>
            <w:r>
              <w:t>xz</w:t>
            </w:r>
            <w:proofErr w:type="spellEnd"/>
          </w:p>
        </w:tc>
      </w:tr>
      <w:tr w:rsidR="00A84286" w14:paraId="642CCE82" w14:textId="5C3D8490" w:rsidTr="00A84286">
        <w:tc>
          <w:tcPr>
            <w:tcW w:w="700" w:type="dxa"/>
          </w:tcPr>
          <w:p w14:paraId="603976DD" w14:textId="600EE0F5" w:rsidR="00A84286" w:rsidRPr="00A84286" w:rsidRDefault="00A84286" w:rsidP="004B2159">
            <w:pPr>
              <w:rPr>
                <w:vertAlign w:val="subscript"/>
              </w:rPr>
            </w:pPr>
            <w:r>
              <w:t>B</w:t>
            </w:r>
            <w:r>
              <w:rPr>
                <w:vertAlign w:val="subscript"/>
              </w:rPr>
              <w:t>3</w:t>
            </w:r>
            <w:r w:rsidR="00D874F6">
              <w:rPr>
                <w:vertAlign w:val="subscript"/>
              </w:rPr>
              <w:t>g</w:t>
            </w:r>
          </w:p>
        </w:tc>
        <w:tc>
          <w:tcPr>
            <w:tcW w:w="675" w:type="dxa"/>
          </w:tcPr>
          <w:p w14:paraId="1791DD2C" w14:textId="3909D502" w:rsidR="00A84286" w:rsidRDefault="00A84286" w:rsidP="00A84286">
            <w:pPr>
              <w:jc w:val="center"/>
            </w:pPr>
            <w:r>
              <w:t>1</w:t>
            </w:r>
          </w:p>
        </w:tc>
        <w:tc>
          <w:tcPr>
            <w:tcW w:w="688" w:type="dxa"/>
          </w:tcPr>
          <w:p w14:paraId="51DE8F24" w14:textId="5966D2FF" w:rsidR="00A84286" w:rsidRDefault="00A84286" w:rsidP="00A84286">
            <w:pPr>
              <w:jc w:val="center"/>
            </w:pPr>
            <w:r>
              <w:t>-1</w:t>
            </w:r>
          </w:p>
        </w:tc>
        <w:tc>
          <w:tcPr>
            <w:tcW w:w="688" w:type="dxa"/>
          </w:tcPr>
          <w:p w14:paraId="62262DB8" w14:textId="2626A3CD" w:rsidR="00A84286" w:rsidRDefault="00A84286" w:rsidP="00A84286">
            <w:pPr>
              <w:jc w:val="center"/>
            </w:pPr>
            <w:r>
              <w:t>-1</w:t>
            </w:r>
          </w:p>
        </w:tc>
        <w:tc>
          <w:tcPr>
            <w:tcW w:w="688" w:type="dxa"/>
          </w:tcPr>
          <w:p w14:paraId="6DB4DD48" w14:textId="59D27BBB" w:rsidR="00A84286" w:rsidRDefault="00A84286" w:rsidP="00A84286">
            <w:pPr>
              <w:jc w:val="center"/>
            </w:pPr>
            <w:r>
              <w:t>1</w:t>
            </w:r>
          </w:p>
        </w:tc>
        <w:tc>
          <w:tcPr>
            <w:tcW w:w="674" w:type="dxa"/>
          </w:tcPr>
          <w:p w14:paraId="4E9A1382" w14:textId="65F4C1FD" w:rsidR="00A84286" w:rsidRDefault="00A84286" w:rsidP="00A84286">
            <w:pPr>
              <w:jc w:val="center"/>
            </w:pPr>
            <w:r>
              <w:t>1</w:t>
            </w:r>
          </w:p>
        </w:tc>
        <w:tc>
          <w:tcPr>
            <w:tcW w:w="694" w:type="dxa"/>
          </w:tcPr>
          <w:p w14:paraId="07EB41EA" w14:textId="235B0131" w:rsidR="00A84286" w:rsidRDefault="00A84286" w:rsidP="00A84286">
            <w:pPr>
              <w:jc w:val="center"/>
            </w:pPr>
            <w:r>
              <w:t>-1</w:t>
            </w:r>
          </w:p>
        </w:tc>
        <w:tc>
          <w:tcPr>
            <w:tcW w:w="693" w:type="dxa"/>
          </w:tcPr>
          <w:p w14:paraId="674C5FC2" w14:textId="1E76E358" w:rsidR="00A84286" w:rsidRDefault="00A84286" w:rsidP="00A84286">
            <w:pPr>
              <w:jc w:val="center"/>
            </w:pPr>
            <w:r>
              <w:t>-1</w:t>
            </w:r>
          </w:p>
        </w:tc>
        <w:tc>
          <w:tcPr>
            <w:tcW w:w="693" w:type="dxa"/>
          </w:tcPr>
          <w:p w14:paraId="780286B1" w14:textId="51FC6588" w:rsidR="00A84286" w:rsidRDefault="00A84286" w:rsidP="00A84286">
            <w:pPr>
              <w:jc w:val="center"/>
            </w:pPr>
            <w:r>
              <w:t>1</w:t>
            </w:r>
          </w:p>
        </w:tc>
        <w:tc>
          <w:tcPr>
            <w:tcW w:w="642" w:type="dxa"/>
          </w:tcPr>
          <w:p w14:paraId="13F61FC0" w14:textId="77777777" w:rsidR="00A84286" w:rsidRDefault="00A84286" w:rsidP="00A84286">
            <w:pPr>
              <w:jc w:val="center"/>
            </w:pPr>
          </w:p>
        </w:tc>
        <w:tc>
          <w:tcPr>
            <w:tcW w:w="1075" w:type="dxa"/>
          </w:tcPr>
          <w:p w14:paraId="3F137C87" w14:textId="0B110746" w:rsidR="00A84286" w:rsidRDefault="00A84286" w:rsidP="00A84286">
            <w:pPr>
              <w:jc w:val="center"/>
            </w:pPr>
            <w:proofErr w:type="spellStart"/>
            <w:r>
              <w:t>yz</w:t>
            </w:r>
            <w:proofErr w:type="spellEnd"/>
          </w:p>
        </w:tc>
      </w:tr>
      <w:tr w:rsidR="00A84286" w14:paraId="7FA93725" w14:textId="699D1651" w:rsidTr="00A84286">
        <w:tc>
          <w:tcPr>
            <w:tcW w:w="700" w:type="dxa"/>
          </w:tcPr>
          <w:p w14:paraId="25FB2F30" w14:textId="51BBD02E" w:rsidR="00A84286" w:rsidRPr="00A84286" w:rsidRDefault="00A84286" w:rsidP="004B2159">
            <w:pPr>
              <w:rPr>
                <w:vertAlign w:val="subscript"/>
              </w:rPr>
            </w:pPr>
            <w:r>
              <w:t>A</w:t>
            </w:r>
            <w:r>
              <w:rPr>
                <w:vertAlign w:val="subscript"/>
              </w:rPr>
              <w:t>u</w:t>
            </w:r>
          </w:p>
        </w:tc>
        <w:tc>
          <w:tcPr>
            <w:tcW w:w="675" w:type="dxa"/>
          </w:tcPr>
          <w:p w14:paraId="304E15BC" w14:textId="493D8A90" w:rsidR="00A84286" w:rsidRDefault="00A84286" w:rsidP="00A84286">
            <w:pPr>
              <w:jc w:val="center"/>
            </w:pPr>
            <w:r>
              <w:t>1</w:t>
            </w:r>
          </w:p>
        </w:tc>
        <w:tc>
          <w:tcPr>
            <w:tcW w:w="688" w:type="dxa"/>
          </w:tcPr>
          <w:p w14:paraId="3EA4AA35" w14:textId="58B9718D" w:rsidR="00A84286" w:rsidRDefault="00A84286" w:rsidP="00A84286">
            <w:pPr>
              <w:jc w:val="center"/>
            </w:pPr>
            <w:r>
              <w:t>1</w:t>
            </w:r>
          </w:p>
        </w:tc>
        <w:tc>
          <w:tcPr>
            <w:tcW w:w="688" w:type="dxa"/>
          </w:tcPr>
          <w:p w14:paraId="4E229615" w14:textId="3366B1A3" w:rsidR="00A84286" w:rsidRDefault="00A84286" w:rsidP="00A84286">
            <w:pPr>
              <w:jc w:val="center"/>
            </w:pPr>
            <w:r>
              <w:t>1</w:t>
            </w:r>
          </w:p>
        </w:tc>
        <w:tc>
          <w:tcPr>
            <w:tcW w:w="688" w:type="dxa"/>
          </w:tcPr>
          <w:p w14:paraId="1FE493E0" w14:textId="7AE196F0" w:rsidR="00A84286" w:rsidRDefault="00A84286" w:rsidP="00A84286">
            <w:pPr>
              <w:jc w:val="center"/>
            </w:pPr>
            <w:r>
              <w:t>1</w:t>
            </w:r>
          </w:p>
        </w:tc>
        <w:tc>
          <w:tcPr>
            <w:tcW w:w="674" w:type="dxa"/>
          </w:tcPr>
          <w:p w14:paraId="1F09AF99" w14:textId="45432B44" w:rsidR="00A84286" w:rsidRDefault="00A84286" w:rsidP="00A84286">
            <w:pPr>
              <w:jc w:val="center"/>
            </w:pPr>
            <w:r>
              <w:t>-1</w:t>
            </w:r>
          </w:p>
        </w:tc>
        <w:tc>
          <w:tcPr>
            <w:tcW w:w="694" w:type="dxa"/>
          </w:tcPr>
          <w:p w14:paraId="51A25566" w14:textId="7980F232" w:rsidR="00A84286" w:rsidRDefault="00A84286" w:rsidP="00A84286">
            <w:pPr>
              <w:jc w:val="center"/>
            </w:pPr>
            <w:r>
              <w:t>-1</w:t>
            </w:r>
          </w:p>
        </w:tc>
        <w:tc>
          <w:tcPr>
            <w:tcW w:w="693" w:type="dxa"/>
          </w:tcPr>
          <w:p w14:paraId="5BB31B92" w14:textId="23FA8662" w:rsidR="00A84286" w:rsidRDefault="00A84286" w:rsidP="00A84286">
            <w:pPr>
              <w:jc w:val="center"/>
            </w:pPr>
            <w:r>
              <w:t>-1</w:t>
            </w:r>
          </w:p>
        </w:tc>
        <w:tc>
          <w:tcPr>
            <w:tcW w:w="693" w:type="dxa"/>
          </w:tcPr>
          <w:p w14:paraId="01359100" w14:textId="342D943D" w:rsidR="00A84286" w:rsidRDefault="00A84286" w:rsidP="00A84286">
            <w:pPr>
              <w:jc w:val="center"/>
            </w:pPr>
            <w:r>
              <w:t>-1</w:t>
            </w:r>
          </w:p>
        </w:tc>
        <w:tc>
          <w:tcPr>
            <w:tcW w:w="642" w:type="dxa"/>
          </w:tcPr>
          <w:p w14:paraId="7F08621F" w14:textId="77777777" w:rsidR="00A84286" w:rsidRDefault="00A84286" w:rsidP="00A84286">
            <w:pPr>
              <w:jc w:val="center"/>
            </w:pPr>
          </w:p>
        </w:tc>
        <w:tc>
          <w:tcPr>
            <w:tcW w:w="1075" w:type="dxa"/>
          </w:tcPr>
          <w:p w14:paraId="4A6E0202" w14:textId="77777777" w:rsidR="00A84286" w:rsidRDefault="00A84286" w:rsidP="00A84286">
            <w:pPr>
              <w:jc w:val="center"/>
            </w:pPr>
          </w:p>
        </w:tc>
      </w:tr>
      <w:tr w:rsidR="00A84286" w14:paraId="6E1AB9C0" w14:textId="794FE5BC" w:rsidTr="00A84286">
        <w:tc>
          <w:tcPr>
            <w:tcW w:w="700" w:type="dxa"/>
          </w:tcPr>
          <w:p w14:paraId="19B583CD" w14:textId="6EE57F55" w:rsidR="00A84286" w:rsidRPr="00A84286" w:rsidRDefault="00A84286" w:rsidP="004B2159">
            <w:r>
              <w:t>B</w:t>
            </w:r>
            <w:r>
              <w:rPr>
                <w:vertAlign w:val="subscript"/>
              </w:rPr>
              <w:t>1u</w:t>
            </w:r>
          </w:p>
        </w:tc>
        <w:tc>
          <w:tcPr>
            <w:tcW w:w="675" w:type="dxa"/>
          </w:tcPr>
          <w:p w14:paraId="638DFE9A" w14:textId="58F9922C" w:rsidR="00A84286" w:rsidRDefault="00A84286" w:rsidP="00A84286">
            <w:pPr>
              <w:jc w:val="center"/>
            </w:pPr>
            <w:r>
              <w:t>1</w:t>
            </w:r>
          </w:p>
        </w:tc>
        <w:tc>
          <w:tcPr>
            <w:tcW w:w="688" w:type="dxa"/>
          </w:tcPr>
          <w:p w14:paraId="596D3D73" w14:textId="335ACF23" w:rsidR="00A84286" w:rsidRDefault="00A84286" w:rsidP="00A84286">
            <w:pPr>
              <w:jc w:val="center"/>
            </w:pPr>
            <w:r>
              <w:t>1</w:t>
            </w:r>
          </w:p>
        </w:tc>
        <w:tc>
          <w:tcPr>
            <w:tcW w:w="688" w:type="dxa"/>
          </w:tcPr>
          <w:p w14:paraId="4EDB4702" w14:textId="37EDF73D" w:rsidR="00A84286" w:rsidRDefault="00A84286" w:rsidP="00A84286">
            <w:pPr>
              <w:jc w:val="center"/>
            </w:pPr>
            <w:r>
              <w:t>-1</w:t>
            </w:r>
          </w:p>
        </w:tc>
        <w:tc>
          <w:tcPr>
            <w:tcW w:w="688" w:type="dxa"/>
          </w:tcPr>
          <w:p w14:paraId="4D3FF696" w14:textId="2F0AEA7E" w:rsidR="00A84286" w:rsidRDefault="00A84286" w:rsidP="00A84286">
            <w:pPr>
              <w:jc w:val="center"/>
            </w:pPr>
            <w:r>
              <w:t>-1</w:t>
            </w:r>
          </w:p>
        </w:tc>
        <w:tc>
          <w:tcPr>
            <w:tcW w:w="674" w:type="dxa"/>
          </w:tcPr>
          <w:p w14:paraId="29E3B0AF" w14:textId="6AD71268" w:rsidR="00A84286" w:rsidRDefault="00A84286" w:rsidP="00A84286">
            <w:pPr>
              <w:jc w:val="center"/>
            </w:pPr>
            <w:r>
              <w:t>-1</w:t>
            </w:r>
          </w:p>
        </w:tc>
        <w:tc>
          <w:tcPr>
            <w:tcW w:w="694" w:type="dxa"/>
          </w:tcPr>
          <w:p w14:paraId="1EFDFB66" w14:textId="3F66B033" w:rsidR="00A84286" w:rsidRDefault="00A84286" w:rsidP="00A84286">
            <w:pPr>
              <w:jc w:val="center"/>
            </w:pPr>
            <w:r>
              <w:t>-1</w:t>
            </w:r>
          </w:p>
        </w:tc>
        <w:tc>
          <w:tcPr>
            <w:tcW w:w="693" w:type="dxa"/>
          </w:tcPr>
          <w:p w14:paraId="10A23905" w14:textId="618264B3" w:rsidR="00A84286" w:rsidRDefault="00A84286" w:rsidP="00A84286">
            <w:pPr>
              <w:jc w:val="center"/>
            </w:pPr>
            <w:r>
              <w:t>1</w:t>
            </w:r>
          </w:p>
        </w:tc>
        <w:tc>
          <w:tcPr>
            <w:tcW w:w="693" w:type="dxa"/>
          </w:tcPr>
          <w:p w14:paraId="3A723ACD" w14:textId="625E0E80" w:rsidR="00A84286" w:rsidRDefault="00A84286" w:rsidP="00A84286">
            <w:pPr>
              <w:jc w:val="center"/>
            </w:pPr>
            <w:r>
              <w:t>1</w:t>
            </w:r>
          </w:p>
        </w:tc>
        <w:tc>
          <w:tcPr>
            <w:tcW w:w="642" w:type="dxa"/>
          </w:tcPr>
          <w:p w14:paraId="4B4696F9" w14:textId="4C93A137" w:rsidR="00A84286" w:rsidRDefault="00A84286" w:rsidP="00A84286">
            <w:pPr>
              <w:jc w:val="center"/>
            </w:pPr>
            <w:r>
              <w:t>z</w:t>
            </w:r>
          </w:p>
        </w:tc>
        <w:tc>
          <w:tcPr>
            <w:tcW w:w="1075" w:type="dxa"/>
          </w:tcPr>
          <w:p w14:paraId="092D436E" w14:textId="77777777" w:rsidR="00A84286" w:rsidRDefault="00A84286" w:rsidP="00A84286">
            <w:pPr>
              <w:jc w:val="center"/>
            </w:pPr>
          </w:p>
        </w:tc>
      </w:tr>
      <w:tr w:rsidR="00A84286" w14:paraId="364BF11B" w14:textId="28807641" w:rsidTr="00A84286">
        <w:tc>
          <w:tcPr>
            <w:tcW w:w="700" w:type="dxa"/>
          </w:tcPr>
          <w:p w14:paraId="1254FF27" w14:textId="1CF72BE2" w:rsidR="00A84286" w:rsidRPr="00A84286" w:rsidRDefault="00A84286" w:rsidP="004B2159">
            <w:pPr>
              <w:rPr>
                <w:vertAlign w:val="subscript"/>
              </w:rPr>
            </w:pPr>
            <w:r>
              <w:t>B</w:t>
            </w:r>
            <w:r>
              <w:rPr>
                <w:vertAlign w:val="subscript"/>
              </w:rPr>
              <w:t>2u</w:t>
            </w:r>
          </w:p>
        </w:tc>
        <w:tc>
          <w:tcPr>
            <w:tcW w:w="675" w:type="dxa"/>
          </w:tcPr>
          <w:p w14:paraId="61CD2D25" w14:textId="79699658" w:rsidR="00A84286" w:rsidRDefault="00A84286" w:rsidP="00A84286">
            <w:pPr>
              <w:jc w:val="center"/>
            </w:pPr>
            <w:r>
              <w:t>1</w:t>
            </w:r>
          </w:p>
        </w:tc>
        <w:tc>
          <w:tcPr>
            <w:tcW w:w="688" w:type="dxa"/>
          </w:tcPr>
          <w:p w14:paraId="1749C434" w14:textId="69EC4BBA" w:rsidR="00A84286" w:rsidRDefault="00A84286" w:rsidP="00A84286">
            <w:pPr>
              <w:jc w:val="center"/>
            </w:pPr>
            <w:r>
              <w:t>-1</w:t>
            </w:r>
          </w:p>
        </w:tc>
        <w:tc>
          <w:tcPr>
            <w:tcW w:w="688" w:type="dxa"/>
          </w:tcPr>
          <w:p w14:paraId="03F8B79E" w14:textId="3F32AA17" w:rsidR="00A84286" w:rsidRDefault="00A84286" w:rsidP="00A84286">
            <w:pPr>
              <w:jc w:val="center"/>
            </w:pPr>
            <w:r>
              <w:t>1</w:t>
            </w:r>
          </w:p>
        </w:tc>
        <w:tc>
          <w:tcPr>
            <w:tcW w:w="688" w:type="dxa"/>
          </w:tcPr>
          <w:p w14:paraId="77A8C8C4" w14:textId="3F6DA575" w:rsidR="00A84286" w:rsidRDefault="00A84286" w:rsidP="00A84286">
            <w:pPr>
              <w:jc w:val="center"/>
            </w:pPr>
            <w:r>
              <w:t>-1</w:t>
            </w:r>
          </w:p>
        </w:tc>
        <w:tc>
          <w:tcPr>
            <w:tcW w:w="674" w:type="dxa"/>
          </w:tcPr>
          <w:p w14:paraId="212AF307" w14:textId="4BDF9809" w:rsidR="00A84286" w:rsidRDefault="00A84286" w:rsidP="00A84286">
            <w:pPr>
              <w:jc w:val="center"/>
            </w:pPr>
            <w:r>
              <w:t>-1</w:t>
            </w:r>
          </w:p>
        </w:tc>
        <w:tc>
          <w:tcPr>
            <w:tcW w:w="694" w:type="dxa"/>
          </w:tcPr>
          <w:p w14:paraId="07BA15B5" w14:textId="4D5F3EC8" w:rsidR="00A84286" w:rsidRDefault="00A84286" w:rsidP="00A84286">
            <w:pPr>
              <w:jc w:val="center"/>
            </w:pPr>
            <w:r>
              <w:t>1</w:t>
            </w:r>
          </w:p>
        </w:tc>
        <w:tc>
          <w:tcPr>
            <w:tcW w:w="693" w:type="dxa"/>
          </w:tcPr>
          <w:p w14:paraId="08DF8325" w14:textId="29EBB4D7" w:rsidR="00A84286" w:rsidRDefault="00A84286" w:rsidP="00A84286">
            <w:pPr>
              <w:jc w:val="center"/>
            </w:pPr>
            <w:r>
              <w:t>-1</w:t>
            </w:r>
          </w:p>
        </w:tc>
        <w:tc>
          <w:tcPr>
            <w:tcW w:w="693" w:type="dxa"/>
          </w:tcPr>
          <w:p w14:paraId="01B6D360" w14:textId="52857319" w:rsidR="00A84286" w:rsidRDefault="00A84286" w:rsidP="00A84286">
            <w:pPr>
              <w:jc w:val="center"/>
            </w:pPr>
            <w:r>
              <w:t>1</w:t>
            </w:r>
          </w:p>
        </w:tc>
        <w:tc>
          <w:tcPr>
            <w:tcW w:w="642" w:type="dxa"/>
          </w:tcPr>
          <w:p w14:paraId="5DD7AE70" w14:textId="22AED062" w:rsidR="00A84286" w:rsidRDefault="00A84286" w:rsidP="00A84286">
            <w:pPr>
              <w:jc w:val="center"/>
            </w:pPr>
            <w:r>
              <w:t>y</w:t>
            </w:r>
          </w:p>
        </w:tc>
        <w:tc>
          <w:tcPr>
            <w:tcW w:w="1075" w:type="dxa"/>
          </w:tcPr>
          <w:p w14:paraId="6345644B" w14:textId="77777777" w:rsidR="00A84286" w:rsidRDefault="00A84286" w:rsidP="00A84286">
            <w:pPr>
              <w:jc w:val="center"/>
            </w:pPr>
          </w:p>
        </w:tc>
      </w:tr>
      <w:tr w:rsidR="00A84286" w14:paraId="0B2F3393" w14:textId="77777777" w:rsidTr="00A84286">
        <w:tc>
          <w:tcPr>
            <w:tcW w:w="700" w:type="dxa"/>
          </w:tcPr>
          <w:p w14:paraId="6AE3C48E" w14:textId="01F38B23" w:rsidR="00A84286" w:rsidRPr="00A84286" w:rsidRDefault="00A84286" w:rsidP="004B2159">
            <w:pPr>
              <w:rPr>
                <w:vertAlign w:val="subscript"/>
              </w:rPr>
            </w:pPr>
            <w:r>
              <w:t>B</w:t>
            </w:r>
            <w:r>
              <w:rPr>
                <w:vertAlign w:val="subscript"/>
              </w:rPr>
              <w:t>3u</w:t>
            </w:r>
          </w:p>
        </w:tc>
        <w:tc>
          <w:tcPr>
            <w:tcW w:w="675" w:type="dxa"/>
          </w:tcPr>
          <w:p w14:paraId="3EF87A5D" w14:textId="62B9B18B" w:rsidR="00A84286" w:rsidRDefault="00A84286" w:rsidP="00A84286">
            <w:pPr>
              <w:jc w:val="center"/>
            </w:pPr>
            <w:r>
              <w:t>1</w:t>
            </w:r>
          </w:p>
        </w:tc>
        <w:tc>
          <w:tcPr>
            <w:tcW w:w="688" w:type="dxa"/>
          </w:tcPr>
          <w:p w14:paraId="5D7B2883" w14:textId="1B87F4AD" w:rsidR="00A84286" w:rsidRDefault="00A84286" w:rsidP="00A84286">
            <w:pPr>
              <w:jc w:val="center"/>
            </w:pPr>
            <w:r>
              <w:t>-1</w:t>
            </w:r>
          </w:p>
        </w:tc>
        <w:tc>
          <w:tcPr>
            <w:tcW w:w="688" w:type="dxa"/>
          </w:tcPr>
          <w:p w14:paraId="58CE048D" w14:textId="35807DA2" w:rsidR="00A84286" w:rsidRDefault="00A84286" w:rsidP="00A84286">
            <w:pPr>
              <w:jc w:val="center"/>
            </w:pPr>
            <w:r>
              <w:t>-1</w:t>
            </w:r>
          </w:p>
        </w:tc>
        <w:tc>
          <w:tcPr>
            <w:tcW w:w="688" w:type="dxa"/>
          </w:tcPr>
          <w:p w14:paraId="729182B1" w14:textId="6C715750" w:rsidR="00A84286" w:rsidRDefault="00A84286" w:rsidP="00A84286">
            <w:pPr>
              <w:jc w:val="center"/>
            </w:pPr>
            <w:r>
              <w:t>1</w:t>
            </w:r>
          </w:p>
        </w:tc>
        <w:tc>
          <w:tcPr>
            <w:tcW w:w="674" w:type="dxa"/>
          </w:tcPr>
          <w:p w14:paraId="534FA89A" w14:textId="184FC5D2" w:rsidR="00A84286" w:rsidRDefault="00A84286" w:rsidP="00A84286">
            <w:pPr>
              <w:jc w:val="center"/>
            </w:pPr>
            <w:r>
              <w:t>-1</w:t>
            </w:r>
          </w:p>
        </w:tc>
        <w:tc>
          <w:tcPr>
            <w:tcW w:w="694" w:type="dxa"/>
          </w:tcPr>
          <w:p w14:paraId="3203EFCB" w14:textId="649D5B80" w:rsidR="00A84286" w:rsidRDefault="00A84286" w:rsidP="00A84286">
            <w:pPr>
              <w:jc w:val="center"/>
            </w:pPr>
            <w:r>
              <w:t>1</w:t>
            </w:r>
          </w:p>
        </w:tc>
        <w:tc>
          <w:tcPr>
            <w:tcW w:w="693" w:type="dxa"/>
          </w:tcPr>
          <w:p w14:paraId="5C12FC09" w14:textId="03CC1A0A" w:rsidR="00A84286" w:rsidRDefault="00A84286" w:rsidP="00A84286">
            <w:pPr>
              <w:jc w:val="center"/>
            </w:pPr>
            <w:r>
              <w:t>1</w:t>
            </w:r>
          </w:p>
        </w:tc>
        <w:tc>
          <w:tcPr>
            <w:tcW w:w="693" w:type="dxa"/>
          </w:tcPr>
          <w:p w14:paraId="5F5BD570" w14:textId="1D1DFF40" w:rsidR="00A84286" w:rsidRDefault="00A84286" w:rsidP="00A84286">
            <w:pPr>
              <w:jc w:val="center"/>
            </w:pPr>
            <w:r>
              <w:t>-1</w:t>
            </w:r>
          </w:p>
        </w:tc>
        <w:tc>
          <w:tcPr>
            <w:tcW w:w="642" w:type="dxa"/>
          </w:tcPr>
          <w:p w14:paraId="6118004E" w14:textId="3560F6BE" w:rsidR="00A84286" w:rsidRDefault="00A84286" w:rsidP="00A84286">
            <w:pPr>
              <w:jc w:val="center"/>
            </w:pPr>
            <w:r>
              <w:t>x</w:t>
            </w:r>
          </w:p>
        </w:tc>
        <w:tc>
          <w:tcPr>
            <w:tcW w:w="1075" w:type="dxa"/>
          </w:tcPr>
          <w:p w14:paraId="70D08946" w14:textId="77777777" w:rsidR="00A84286" w:rsidRDefault="00A84286" w:rsidP="00A84286">
            <w:pPr>
              <w:jc w:val="center"/>
            </w:pPr>
          </w:p>
        </w:tc>
      </w:tr>
      <w:tr w:rsidR="00A84286" w14:paraId="1077FFE3" w14:textId="77777777" w:rsidTr="00A84286">
        <w:tc>
          <w:tcPr>
            <w:tcW w:w="700" w:type="dxa"/>
          </w:tcPr>
          <w:p w14:paraId="346564B0" w14:textId="742ED5DF" w:rsidR="00A84286" w:rsidRPr="00636EF8" w:rsidRDefault="00A84286" w:rsidP="004B2159">
            <w:pPr>
              <w:rPr>
                <w:rFonts w:ascii="Symbol" w:hAnsi="Symbol"/>
                <w:color w:val="FFFFFF" w:themeColor="background1"/>
              </w:rPr>
            </w:pPr>
            <w:r w:rsidRPr="00636EF8">
              <w:rPr>
                <w:rFonts w:ascii="Symbol" w:hAnsi="Symbol"/>
                <w:color w:val="FFFFFF" w:themeColor="background1"/>
              </w:rPr>
              <w:t>G</w:t>
            </w:r>
          </w:p>
        </w:tc>
        <w:tc>
          <w:tcPr>
            <w:tcW w:w="675" w:type="dxa"/>
          </w:tcPr>
          <w:p w14:paraId="30D4896F" w14:textId="5E64518F" w:rsidR="00A84286" w:rsidRPr="00636EF8" w:rsidRDefault="00A84286" w:rsidP="00A84286">
            <w:pPr>
              <w:jc w:val="center"/>
              <w:rPr>
                <w:color w:val="FFFFFF" w:themeColor="background1"/>
              </w:rPr>
            </w:pPr>
            <w:r w:rsidRPr="00636EF8">
              <w:rPr>
                <w:color w:val="FFFFFF" w:themeColor="background1"/>
              </w:rPr>
              <w:t>2</w:t>
            </w:r>
          </w:p>
        </w:tc>
        <w:tc>
          <w:tcPr>
            <w:tcW w:w="688" w:type="dxa"/>
          </w:tcPr>
          <w:p w14:paraId="64A92477" w14:textId="4999C5B9" w:rsidR="00A84286" w:rsidRPr="00636EF8" w:rsidRDefault="00A84286" w:rsidP="00A84286">
            <w:pPr>
              <w:jc w:val="center"/>
              <w:rPr>
                <w:color w:val="FFFFFF" w:themeColor="background1"/>
              </w:rPr>
            </w:pPr>
            <w:r w:rsidRPr="00636EF8">
              <w:rPr>
                <w:color w:val="FFFFFF" w:themeColor="background1"/>
              </w:rPr>
              <w:t>2</w:t>
            </w:r>
          </w:p>
        </w:tc>
        <w:tc>
          <w:tcPr>
            <w:tcW w:w="688" w:type="dxa"/>
          </w:tcPr>
          <w:p w14:paraId="47E8CB76" w14:textId="2B431DD4" w:rsidR="00A84286" w:rsidRPr="00636EF8" w:rsidRDefault="00A84286" w:rsidP="00A84286">
            <w:pPr>
              <w:jc w:val="center"/>
              <w:rPr>
                <w:color w:val="FFFFFF" w:themeColor="background1"/>
              </w:rPr>
            </w:pPr>
            <w:r w:rsidRPr="00636EF8">
              <w:rPr>
                <w:color w:val="FFFFFF" w:themeColor="background1"/>
              </w:rPr>
              <w:t>0</w:t>
            </w:r>
          </w:p>
        </w:tc>
        <w:tc>
          <w:tcPr>
            <w:tcW w:w="688" w:type="dxa"/>
          </w:tcPr>
          <w:p w14:paraId="48D24CBA" w14:textId="48DC1CC4" w:rsidR="00A84286" w:rsidRPr="00636EF8" w:rsidRDefault="00A84286" w:rsidP="00A84286">
            <w:pPr>
              <w:jc w:val="center"/>
              <w:rPr>
                <w:color w:val="FFFFFF" w:themeColor="background1"/>
              </w:rPr>
            </w:pPr>
            <w:r w:rsidRPr="00636EF8">
              <w:rPr>
                <w:color w:val="FFFFFF" w:themeColor="background1"/>
              </w:rPr>
              <w:t>0</w:t>
            </w:r>
          </w:p>
        </w:tc>
        <w:tc>
          <w:tcPr>
            <w:tcW w:w="674" w:type="dxa"/>
          </w:tcPr>
          <w:p w14:paraId="46D653C3" w14:textId="3F48615F" w:rsidR="00A84286" w:rsidRPr="00636EF8" w:rsidRDefault="00A84286" w:rsidP="00A84286">
            <w:pPr>
              <w:jc w:val="center"/>
              <w:rPr>
                <w:color w:val="FFFFFF" w:themeColor="background1"/>
              </w:rPr>
            </w:pPr>
            <w:r w:rsidRPr="00636EF8">
              <w:rPr>
                <w:color w:val="FFFFFF" w:themeColor="background1"/>
              </w:rPr>
              <w:t>0</w:t>
            </w:r>
          </w:p>
        </w:tc>
        <w:tc>
          <w:tcPr>
            <w:tcW w:w="694" w:type="dxa"/>
          </w:tcPr>
          <w:p w14:paraId="275831AA" w14:textId="56CC4F01" w:rsidR="00A84286" w:rsidRPr="00636EF8" w:rsidRDefault="00A84286" w:rsidP="00A84286">
            <w:pPr>
              <w:jc w:val="center"/>
              <w:rPr>
                <w:color w:val="FFFFFF" w:themeColor="background1"/>
              </w:rPr>
            </w:pPr>
            <w:r w:rsidRPr="00636EF8">
              <w:rPr>
                <w:color w:val="FFFFFF" w:themeColor="background1"/>
              </w:rPr>
              <w:t>0</w:t>
            </w:r>
          </w:p>
        </w:tc>
        <w:tc>
          <w:tcPr>
            <w:tcW w:w="693" w:type="dxa"/>
          </w:tcPr>
          <w:p w14:paraId="7D7607B8" w14:textId="76FFBCDD" w:rsidR="00A84286" w:rsidRPr="00636EF8" w:rsidRDefault="00A84286" w:rsidP="00A84286">
            <w:pPr>
              <w:jc w:val="center"/>
              <w:rPr>
                <w:color w:val="FFFFFF" w:themeColor="background1"/>
              </w:rPr>
            </w:pPr>
            <w:r w:rsidRPr="00636EF8">
              <w:rPr>
                <w:color w:val="FFFFFF" w:themeColor="background1"/>
              </w:rPr>
              <w:t>2</w:t>
            </w:r>
          </w:p>
        </w:tc>
        <w:tc>
          <w:tcPr>
            <w:tcW w:w="693" w:type="dxa"/>
          </w:tcPr>
          <w:p w14:paraId="34130A31" w14:textId="4BFD72E1" w:rsidR="00A84286" w:rsidRPr="00636EF8" w:rsidRDefault="00A84286" w:rsidP="00A84286">
            <w:pPr>
              <w:jc w:val="center"/>
              <w:rPr>
                <w:color w:val="FFFFFF" w:themeColor="background1"/>
              </w:rPr>
            </w:pPr>
            <w:r w:rsidRPr="00636EF8">
              <w:rPr>
                <w:color w:val="FFFFFF" w:themeColor="background1"/>
              </w:rPr>
              <w:t>2</w:t>
            </w:r>
          </w:p>
        </w:tc>
        <w:tc>
          <w:tcPr>
            <w:tcW w:w="642" w:type="dxa"/>
          </w:tcPr>
          <w:p w14:paraId="597AC674" w14:textId="77777777" w:rsidR="00A84286" w:rsidRDefault="00A84286" w:rsidP="00A84286">
            <w:pPr>
              <w:jc w:val="center"/>
            </w:pPr>
          </w:p>
        </w:tc>
        <w:tc>
          <w:tcPr>
            <w:tcW w:w="1075" w:type="dxa"/>
          </w:tcPr>
          <w:p w14:paraId="561C2303" w14:textId="77777777" w:rsidR="00A84286" w:rsidRDefault="00A84286" w:rsidP="00A84286">
            <w:pPr>
              <w:jc w:val="center"/>
            </w:pPr>
          </w:p>
        </w:tc>
      </w:tr>
    </w:tbl>
    <w:p w14:paraId="3796CD06" w14:textId="77777777" w:rsidR="00493DB0" w:rsidRDefault="00493DB0" w:rsidP="00493DB0"/>
    <w:p w14:paraId="2C35D450" w14:textId="4AD242E4" w:rsidR="004B2159" w:rsidRDefault="00EF246B" w:rsidP="004B2159">
      <w:pPr>
        <w:numPr>
          <w:ilvl w:val="0"/>
          <w:numId w:val="1"/>
        </w:numPr>
      </w:pPr>
      <w:r>
        <w:t xml:space="preserve">And now back to compound </w:t>
      </w:r>
      <w:r>
        <w:rPr>
          <w:b/>
          <w:bCs/>
        </w:rPr>
        <w:t>1</w:t>
      </w:r>
      <w:r>
        <w:t xml:space="preserve">. Consider acetone and compound </w:t>
      </w:r>
      <w:r>
        <w:rPr>
          <w:b/>
          <w:bCs/>
        </w:rPr>
        <w:t>1</w:t>
      </w:r>
      <w:r>
        <w:t>. How many Raman-active C-O vibrations would you expect to see in each of these compounds?</w:t>
      </w:r>
    </w:p>
    <w:p w14:paraId="2F339913" w14:textId="77777777" w:rsidR="00EF246B" w:rsidRDefault="00EF246B" w:rsidP="00D16DA5"/>
    <w:p w14:paraId="20AA8677" w14:textId="03B53CF3" w:rsidR="002B204D" w:rsidRDefault="002B204D" w:rsidP="004B2159">
      <w:pPr>
        <w:numPr>
          <w:ilvl w:val="0"/>
          <w:numId w:val="1"/>
        </w:numPr>
      </w:pPr>
      <w:r>
        <w:t xml:space="preserve">On page 12359 the authors describe the structure of compound </w:t>
      </w:r>
      <w:r>
        <w:rPr>
          <w:b/>
          <w:bCs/>
        </w:rPr>
        <w:t>1</w:t>
      </w:r>
      <w:r w:rsidR="00216EBC">
        <w:t xml:space="preserve"> and a number of bond lengths and angles are presented in Table 2. The authors reports that there are “two </w:t>
      </w:r>
      <w:proofErr w:type="spellStart"/>
      <w:r w:rsidR="00216EBC">
        <w:t>cyrstallographically</w:t>
      </w:r>
      <w:proofErr w:type="spellEnd"/>
      <w:r w:rsidR="00216EBC">
        <w:t xml:space="preserve"> unique [(CH</w:t>
      </w:r>
      <w:r w:rsidR="00216EBC">
        <w:rPr>
          <w:vertAlign w:val="subscript"/>
        </w:rPr>
        <w:t>3</w:t>
      </w:r>
      <w:r w:rsidR="00216EBC">
        <w:t>)</w:t>
      </w:r>
      <w:r w:rsidR="00216EBC">
        <w:rPr>
          <w:vertAlign w:val="subscript"/>
        </w:rPr>
        <w:t>2</w:t>
      </w:r>
      <w:r w:rsidR="00216EBC">
        <w:t>CO]</w:t>
      </w:r>
      <w:r w:rsidR="00216EBC">
        <w:rPr>
          <w:vertAlign w:val="subscript"/>
        </w:rPr>
        <w:t>3</w:t>
      </w:r>
      <w:r w:rsidR="00216EBC">
        <w:t>XeO</w:t>
      </w:r>
      <w:r w:rsidR="00216EBC">
        <w:rPr>
          <w:vertAlign w:val="subscript"/>
        </w:rPr>
        <w:t>3</w:t>
      </w:r>
      <w:r w:rsidR="00216EBC">
        <w:t xml:space="preserve"> units”. What does this mean?</w:t>
      </w:r>
    </w:p>
    <w:p w14:paraId="4196BAE5" w14:textId="77777777" w:rsidR="00216EBC" w:rsidRDefault="00216EBC" w:rsidP="00216EBC">
      <w:pPr>
        <w:ind w:left="720"/>
      </w:pPr>
    </w:p>
    <w:p w14:paraId="20A96D96" w14:textId="53EFD4E1" w:rsidR="002513B4" w:rsidRDefault="002513B4" w:rsidP="004B2159">
      <w:pPr>
        <w:numPr>
          <w:ilvl w:val="0"/>
          <w:numId w:val="1"/>
        </w:numPr>
      </w:pPr>
      <w:r>
        <w:t xml:space="preserve">The average Xe-O (this is the oxygen that is not part of the acetone) for </w:t>
      </w:r>
      <w:r>
        <w:rPr>
          <w:b/>
          <w:bCs/>
        </w:rPr>
        <w:t>1</w:t>
      </w:r>
      <w:r>
        <w:t xml:space="preserve"> is 1.766 Å whereas the average Xe---O (this is the oxygen that is part of the acetone) for </w:t>
      </w:r>
      <w:r>
        <w:rPr>
          <w:b/>
          <w:bCs/>
        </w:rPr>
        <w:t>1</w:t>
      </w:r>
      <w:r>
        <w:t xml:space="preserve"> is 2.758 Å. Account for this difference in bond lengths.</w:t>
      </w:r>
    </w:p>
    <w:p w14:paraId="3F0DADB9" w14:textId="77777777" w:rsidR="002513B4" w:rsidRDefault="002513B4" w:rsidP="002513B4">
      <w:pPr>
        <w:ind w:left="720"/>
      </w:pPr>
    </w:p>
    <w:p w14:paraId="009AF43E" w14:textId="49A237C3" w:rsidR="008F5946" w:rsidRDefault="002513B4" w:rsidP="008F5946">
      <w:pPr>
        <w:numPr>
          <w:ilvl w:val="0"/>
          <w:numId w:val="1"/>
        </w:numPr>
      </w:pPr>
      <w:r>
        <w:lastRenderedPageBreak/>
        <w:t>The authors have also reported the structure of XeO</w:t>
      </w:r>
      <w:r>
        <w:rPr>
          <w:vertAlign w:val="subscript"/>
        </w:rPr>
        <w:t>3</w:t>
      </w:r>
      <w:r>
        <w:t xml:space="preserve"> in the solid state, although as mentioned previously, it forms a large network and three different solid-state structures were observed (</w:t>
      </w:r>
      <w:proofErr w:type="spellStart"/>
      <w:r>
        <w:rPr>
          <w:i/>
          <w:iCs/>
        </w:rPr>
        <w:t>Inorg</w:t>
      </w:r>
      <w:proofErr w:type="spellEnd"/>
      <w:r>
        <w:rPr>
          <w:i/>
          <w:iCs/>
        </w:rPr>
        <w:t xml:space="preserve">. Chem. </w:t>
      </w:r>
      <w:r>
        <w:rPr>
          <w:b/>
          <w:bCs/>
        </w:rPr>
        <w:t>2016</w:t>
      </w:r>
      <w:r>
        <w:t xml:space="preserve">, </w:t>
      </w:r>
      <w:r>
        <w:rPr>
          <w:i/>
          <w:iCs/>
        </w:rPr>
        <w:t>55</w:t>
      </w:r>
      <w:r>
        <w:t xml:space="preserve">, 12975-12981, </w:t>
      </w:r>
      <w:hyperlink r:id="rId9" w:history="1">
        <w:r w:rsidRPr="007E244D">
          <w:rPr>
            <w:rStyle w:val="Hyperlink"/>
          </w:rPr>
          <w:t>http://dx.doi.org/10.1021/acs.inorgchem.6b02371</w:t>
        </w:r>
      </w:hyperlink>
      <w:r>
        <w:t xml:space="preserve">). </w:t>
      </w:r>
      <w:r w:rsidR="008F5946">
        <w:t xml:space="preserve">In comparing distances to compound </w:t>
      </w:r>
      <w:r w:rsidR="008F5946">
        <w:rPr>
          <w:b/>
          <w:bCs/>
        </w:rPr>
        <w:t>1</w:t>
      </w:r>
      <w:r w:rsidR="008F5946">
        <w:t>, the shorter Xe-O distances are on average 1.768 Å and the longer Xe---O distances are 2.754 Å. Although these are very similar and one should be extremely careful to not read too much into it, what do these values suggest about the relative donor ability of another XeO</w:t>
      </w:r>
      <w:r w:rsidR="008F5946">
        <w:rPr>
          <w:vertAlign w:val="subscript"/>
        </w:rPr>
        <w:t>3</w:t>
      </w:r>
      <w:r w:rsidR="008F5946">
        <w:t xml:space="preserve"> unit relative to that of three acetone molecules? How can </w:t>
      </w:r>
      <w:proofErr w:type="spellStart"/>
      <w:r w:rsidR="008F5946">
        <w:t>you</w:t>
      </w:r>
      <w:proofErr w:type="spellEnd"/>
      <w:r w:rsidR="008F5946">
        <w:t xml:space="preserve"> account for this?</w:t>
      </w:r>
    </w:p>
    <w:p w14:paraId="7FCFCF8C" w14:textId="4BD376FE" w:rsidR="002513B4" w:rsidRDefault="002513B4" w:rsidP="008F5946"/>
    <w:p w14:paraId="3C89EE24" w14:textId="0406469E" w:rsidR="00707131" w:rsidRDefault="001532EE" w:rsidP="004B2159">
      <w:pPr>
        <w:numPr>
          <w:ilvl w:val="0"/>
          <w:numId w:val="1"/>
        </w:numPr>
      </w:pPr>
      <w:r>
        <w:t xml:space="preserve">The authors also describe the synthesis of compound </w:t>
      </w:r>
      <w:r w:rsidRPr="001532EE">
        <w:rPr>
          <w:b/>
          <w:bCs/>
        </w:rPr>
        <w:t>2</w:t>
      </w:r>
      <w:r>
        <w:t xml:space="preserve"> which contains </w:t>
      </w:r>
      <w:proofErr w:type="spellStart"/>
      <w:r>
        <w:t>dimethylsulfoxide</w:t>
      </w:r>
      <w:proofErr w:type="spellEnd"/>
      <w:r>
        <w:t xml:space="preserve"> (DMSO) in place of acetone. Unlike the synthesis of compound </w:t>
      </w:r>
      <w:r>
        <w:rPr>
          <w:b/>
          <w:bCs/>
        </w:rPr>
        <w:t>1</w:t>
      </w:r>
      <w:r>
        <w:t>, the authors could not just dissolve XeO</w:t>
      </w:r>
      <w:r>
        <w:rPr>
          <w:vertAlign w:val="subscript"/>
        </w:rPr>
        <w:t>3</w:t>
      </w:r>
      <w:r>
        <w:t xml:space="preserve"> in DMSO as the XeO</w:t>
      </w:r>
      <w:r>
        <w:rPr>
          <w:vertAlign w:val="subscript"/>
        </w:rPr>
        <w:t>3</w:t>
      </w:r>
      <w:r>
        <w:t xml:space="preserve"> “detonates on contact with liquid </w:t>
      </w:r>
      <w:proofErr w:type="spellStart"/>
      <w:r>
        <w:t>dimethylsulfoxide</w:t>
      </w:r>
      <w:proofErr w:type="spellEnd"/>
      <w:r>
        <w:t xml:space="preserve"> (DMSO)”. Draw the structure of DMSO and suggest why the authors can dissolve XeO</w:t>
      </w:r>
      <w:r>
        <w:rPr>
          <w:vertAlign w:val="subscript"/>
        </w:rPr>
        <w:t>3</w:t>
      </w:r>
      <w:r>
        <w:t xml:space="preserve"> is acetone but not DMSO.</w:t>
      </w:r>
    </w:p>
    <w:p w14:paraId="4A6C89F3" w14:textId="40F5031F" w:rsidR="00C11142" w:rsidRDefault="00C11142" w:rsidP="00C11142">
      <w:pPr>
        <w:ind w:left="720"/>
      </w:pPr>
    </w:p>
    <w:p w14:paraId="608E17FD" w14:textId="34227F3C" w:rsidR="00B12415" w:rsidRDefault="00B12415" w:rsidP="00B12415">
      <w:pPr>
        <w:numPr>
          <w:ilvl w:val="0"/>
          <w:numId w:val="1"/>
        </w:numPr>
      </w:pPr>
      <w:r>
        <w:t xml:space="preserve">The average Xe-O (this is the oxygen that is not part of the DMSO) for </w:t>
      </w:r>
      <w:r>
        <w:rPr>
          <w:b/>
          <w:bCs/>
        </w:rPr>
        <w:t>2</w:t>
      </w:r>
      <w:r>
        <w:t xml:space="preserve"> is 1.7683 Å (1.766 Å in </w:t>
      </w:r>
      <w:r>
        <w:rPr>
          <w:b/>
          <w:bCs/>
        </w:rPr>
        <w:t>1</w:t>
      </w:r>
      <w:r>
        <w:t xml:space="preserve">) whereas the average Xe---O (this is the oxygen that is part of the DMSO) for </w:t>
      </w:r>
      <w:r>
        <w:rPr>
          <w:b/>
          <w:bCs/>
        </w:rPr>
        <w:t>2</w:t>
      </w:r>
      <w:r>
        <w:t xml:space="preserve"> is 2.7409 Å (2.758 Å in </w:t>
      </w:r>
      <w:r>
        <w:rPr>
          <w:b/>
          <w:bCs/>
        </w:rPr>
        <w:t>1</w:t>
      </w:r>
      <w:r>
        <w:t>). What does this suggest about the relative donor ability of DMSO compared to acetone? How can you account for this difference?</w:t>
      </w:r>
    </w:p>
    <w:p w14:paraId="7E1C3307" w14:textId="1ADE7FE4" w:rsidR="00C11142" w:rsidRDefault="00C11142" w:rsidP="00C11142">
      <w:pPr>
        <w:ind w:left="720"/>
      </w:pPr>
    </w:p>
    <w:p w14:paraId="573C939E" w14:textId="0A88C951" w:rsidR="00C11142" w:rsidRDefault="007A38C1" w:rsidP="004B2159">
      <w:pPr>
        <w:numPr>
          <w:ilvl w:val="0"/>
          <w:numId w:val="1"/>
        </w:numPr>
      </w:pPr>
      <w:r>
        <w:t xml:space="preserve">Table 3 presents some of the Raman data for these compounds. Reading through the text that begins on the previous page, the vibrations that the listed are Xe-O vibrations. Comparing the </w:t>
      </w:r>
      <w:proofErr w:type="spellStart"/>
      <w:r>
        <w:t>exptl</w:t>
      </w:r>
      <w:proofErr w:type="spellEnd"/>
      <w:r>
        <w:t xml:space="preserve"> values for compounds </w:t>
      </w:r>
      <w:r>
        <w:rPr>
          <w:b/>
          <w:bCs/>
        </w:rPr>
        <w:t>1</w:t>
      </w:r>
      <w:r>
        <w:t xml:space="preserve"> and </w:t>
      </w:r>
      <w:r>
        <w:rPr>
          <w:b/>
          <w:bCs/>
        </w:rPr>
        <w:t>2</w:t>
      </w:r>
      <w:r>
        <w:t>, does this support your relative rankings of donor ability of acetone vs. DMSO in the previous question? Why or why not?</w:t>
      </w:r>
    </w:p>
    <w:p w14:paraId="1478F91A" w14:textId="7FF912F0" w:rsidR="002163B3" w:rsidRDefault="002163B3" w:rsidP="002163B3">
      <w:pPr>
        <w:ind w:left="720"/>
      </w:pPr>
    </w:p>
    <w:p w14:paraId="7F706E89" w14:textId="2772D30E" w:rsidR="002163B3" w:rsidRDefault="006969D9" w:rsidP="004B2159">
      <w:pPr>
        <w:numPr>
          <w:ilvl w:val="0"/>
          <w:numId w:val="1"/>
        </w:numPr>
      </w:pPr>
      <w:r>
        <w:t>Draw the structure of C</w:t>
      </w:r>
      <w:r>
        <w:rPr>
          <w:vertAlign w:val="subscript"/>
        </w:rPr>
        <w:t>5</w:t>
      </w:r>
      <w:r>
        <w:t>H</w:t>
      </w:r>
      <w:r>
        <w:rPr>
          <w:vertAlign w:val="subscript"/>
        </w:rPr>
        <w:t>5</w:t>
      </w:r>
      <w:r>
        <w:t>NO and from this structure suggest why it might not be a surprise that the authors report “slow addition of an acetone solution of C</w:t>
      </w:r>
      <w:r>
        <w:rPr>
          <w:vertAlign w:val="subscript"/>
        </w:rPr>
        <w:t>5</w:t>
      </w:r>
      <w:r>
        <w:t>H</w:t>
      </w:r>
      <w:r>
        <w:rPr>
          <w:vertAlign w:val="subscript"/>
        </w:rPr>
        <w:t>5</w:t>
      </w:r>
      <w:r>
        <w:t>NO to solid XeO</w:t>
      </w:r>
      <w:r>
        <w:rPr>
          <w:vertAlign w:val="subscript"/>
        </w:rPr>
        <w:t>3</w:t>
      </w:r>
      <w:r>
        <w:t xml:space="preserve"> resulted in detonation”.</w:t>
      </w:r>
    </w:p>
    <w:p w14:paraId="10E73769" w14:textId="11456F32" w:rsidR="00EF0613" w:rsidRDefault="00EF0613" w:rsidP="00EF0613">
      <w:pPr>
        <w:ind w:left="720"/>
      </w:pPr>
    </w:p>
    <w:p w14:paraId="3ED7560B" w14:textId="574D9942" w:rsidR="00EF0613" w:rsidRDefault="001163CF" w:rsidP="004B2159">
      <w:pPr>
        <w:numPr>
          <w:ilvl w:val="0"/>
          <w:numId w:val="1"/>
        </w:numPr>
      </w:pPr>
      <w:r>
        <w:t>The authors do report the synthesis of a compound using C</w:t>
      </w:r>
      <w:r>
        <w:rPr>
          <w:vertAlign w:val="subscript"/>
        </w:rPr>
        <w:t>5</w:t>
      </w:r>
      <w:r>
        <w:t>H</w:t>
      </w:r>
      <w:r>
        <w:rPr>
          <w:vertAlign w:val="subscript"/>
        </w:rPr>
        <w:t>5</w:t>
      </w:r>
      <w:r>
        <w:t xml:space="preserve">NO (compound </w:t>
      </w:r>
      <w:r>
        <w:rPr>
          <w:b/>
          <w:bCs/>
        </w:rPr>
        <w:t>3</w:t>
      </w:r>
      <w:r>
        <w:t>) but it has a very different stoichiometry. Suggest why this makes such a different compound.</w:t>
      </w:r>
    </w:p>
    <w:p w14:paraId="750DC0FE" w14:textId="77777777" w:rsidR="00EF0613" w:rsidRDefault="00EF0613" w:rsidP="00636EF8"/>
    <w:p w14:paraId="0CA17FEE" w14:textId="3F418697" w:rsidR="00EF0613" w:rsidRDefault="006960B4" w:rsidP="004B2159">
      <w:pPr>
        <w:numPr>
          <w:ilvl w:val="0"/>
          <w:numId w:val="1"/>
        </w:numPr>
      </w:pPr>
      <w:r>
        <w:t>The authors attempted a reaction between triphenylphosphine (P(C</w:t>
      </w:r>
      <w:r>
        <w:rPr>
          <w:vertAlign w:val="subscript"/>
        </w:rPr>
        <w:t>6</w:t>
      </w:r>
      <w:r>
        <w:t>H</w:t>
      </w:r>
      <w:r>
        <w:rPr>
          <w:vertAlign w:val="subscript"/>
        </w:rPr>
        <w:t>5</w:t>
      </w:r>
      <w:r>
        <w:t>)</w:t>
      </w:r>
      <w:r>
        <w:rPr>
          <w:vertAlign w:val="subscript"/>
        </w:rPr>
        <w:t>3</w:t>
      </w:r>
      <w:r>
        <w:t>) and XeO</w:t>
      </w:r>
      <w:r>
        <w:rPr>
          <w:vertAlign w:val="subscript"/>
        </w:rPr>
        <w:t>3</w:t>
      </w:r>
      <w:r>
        <w:t xml:space="preserve"> but were unable to make an </w:t>
      </w:r>
      <w:proofErr w:type="spellStart"/>
      <w:r>
        <w:t>adduct</w:t>
      </w:r>
      <w:proofErr w:type="spellEnd"/>
      <w:r w:rsidR="006F2772">
        <w:t xml:space="preserve">. </w:t>
      </w:r>
      <w:r>
        <w:t>What products formed in this reaction? What might this suggest about relative bond strengths in comparing the reactants and the products? What other thermodynamic factor is also likely a significant driving force in this reaction?</w:t>
      </w:r>
    </w:p>
    <w:p w14:paraId="2496A27F" w14:textId="41E4B921" w:rsidR="003D080D" w:rsidRDefault="003D080D" w:rsidP="003D080D">
      <w:pPr>
        <w:ind w:left="720"/>
      </w:pPr>
    </w:p>
    <w:p w14:paraId="50E0583D" w14:textId="08649356" w:rsidR="00175BB9" w:rsidRDefault="006F2772" w:rsidP="00175BB9">
      <w:pPr>
        <w:numPr>
          <w:ilvl w:val="0"/>
          <w:numId w:val="1"/>
        </w:numPr>
      </w:pPr>
      <w:r>
        <w:lastRenderedPageBreak/>
        <w:t xml:space="preserve">The authors are eventually able to make an adduct (compound </w:t>
      </w:r>
      <w:r>
        <w:rPr>
          <w:b/>
          <w:bCs/>
        </w:rPr>
        <w:t>4</w:t>
      </w:r>
      <w:r>
        <w:t xml:space="preserve">) </w:t>
      </w:r>
      <w:r w:rsidRPr="006F2772">
        <w:t>using (C</w:t>
      </w:r>
      <w:r w:rsidRPr="006F2772">
        <w:rPr>
          <w:vertAlign w:val="subscript"/>
        </w:rPr>
        <w:t>6</w:t>
      </w:r>
      <w:r w:rsidRPr="006F2772">
        <w:t>H</w:t>
      </w:r>
      <w:r w:rsidRPr="006F2772">
        <w:rPr>
          <w:vertAlign w:val="subscript"/>
        </w:rPr>
        <w:t>5</w:t>
      </w:r>
      <w:r w:rsidRPr="006F2772">
        <w:t>)</w:t>
      </w:r>
      <w:r w:rsidRPr="006F2772">
        <w:rPr>
          <w:vertAlign w:val="subscript"/>
        </w:rPr>
        <w:t>3</w:t>
      </w:r>
      <w:r w:rsidRPr="006F2772">
        <w:t>PO</w:t>
      </w:r>
      <w:r>
        <w:t xml:space="preserve"> instead of </w:t>
      </w:r>
      <w:r w:rsidRPr="006F2772">
        <w:t>(C</w:t>
      </w:r>
      <w:r w:rsidRPr="006F2772">
        <w:rPr>
          <w:vertAlign w:val="subscript"/>
        </w:rPr>
        <w:t>6</w:t>
      </w:r>
      <w:r w:rsidRPr="006F2772">
        <w:t>H</w:t>
      </w:r>
      <w:r w:rsidRPr="006F2772">
        <w:rPr>
          <w:vertAlign w:val="subscript"/>
        </w:rPr>
        <w:t>5</w:t>
      </w:r>
      <w:r w:rsidRPr="006F2772">
        <w:t>)</w:t>
      </w:r>
      <w:r w:rsidRPr="006F2772">
        <w:rPr>
          <w:vertAlign w:val="subscript"/>
        </w:rPr>
        <w:t>3</w:t>
      </w:r>
      <w:r w:rsidRPr="006F2772">
        <w:t>P</w:t>
      </w:r>
      <w:r>
        <w:t>. Again, the stoichiometry is quite different than what was observed for acetone or DMSO, account for this difference.</w:t>
      </w:r>
    </w:p>
    <w:p w14:paraId="6F668CA1" w14:textId="5A00B2E5" w:rsidR="00175BB9" w:rsidRDefault="00175BB9" w:rsidP="00636EF8"/>
    <w:p w14:paraId="16507331" w14:textId="42C7042C" w:rsidR="003D080D" w:rsidRDefault="00550660" w:rsidP="004B2159">
      <w:pPr>
        <w:numPr>
          <w:ilvl w:val="0"/>
          <w:numId w:val="1"/>
        </w:numPr>
      </w:pPr>
      <w:r>
        <w:t>Given the potential for detonation, it is not surprising that the authors did not appear to attempt and NMR characterization of their products</w:t>
      </w:r>
      <w:r w:rsidR="00175BB9">
        <w:t>.</w:t>
      </w:r>
      <w:r>
        <w:t xml:space="preserve"> Compound </w:t>
      </w:r>
      <w:r>
        <w:rPr>
          <w:b/>
          <w:bCs/>
        </w:rPr>
        <w:t>4</w:t>
      </w:r>
      <w:r>
        <w:t xml:space="preserve"> would have been especially fun as both Xe-129 (26.4% abundant) and P-31 (100% abundant) are spin ½ NMR active nuclei. Had the authors obtained the </w:t>
      </w:r>
      <w:r>
        <w:rPr>
          <w:vertAlign w:val="superscript"/>
        </w:rPr>
        <w:t>31</w:t>
      </w:r>
      <w:r>
        <w:t>P{</w:t>
      </w:r>
      <w:r>
        <w:rPr>
          <w:vertAlign w:val="superscript"/>
        </w:rPr>
        <w:t>1</w:t>
      </w:r>
      <w:r>
        <w:t xml:space="preserve">H} and </w:t>
      </w:r>
      <w:r>
        <w:rPr>
          <w:vertAlign w:val="superscript"/>
        </w:rPr>
        <w:t>129</w:t>
      </w:r>
      <w:r>
        <w:t>Xe{</w:t>
      </w:r>
      <w:r>
        <w:rPr>
          <w:vertAlign w:val="superscript"/>
        </w:rPr>
        <w:t>1</w:t>
      </w:r>
      <w:r>
        <w:t>H} spectra what patterns would they have expected to see assuming there is P-Xe coupling?</w:t>
      </w:r>
    </w:p>
    <w:p w14:paraId="6F6ECC98" w14:textId="08ABD065" w:rsidR="00175BB9" w:rsidRDefault="00175BB9" w:rsidP="00175BB9">
      <w:pPr>
        <w:ind w:left="720"/>
      </w:pPr>
    </w:p>
    <w:p w14:paraId="59647ACB" w14:textId="16DF4083" w:rsidR="00B335C9" w:rsidRDefault="00A834A9" w:rsidP="00A834A9">
      <w:pPr>
        <w:numPr>
          <w:ilvl w:val="0"/>
          <w:numId w:val="1"/>
        </w:numPr>
      </w:pPr>
      <w:r>
        <w:t>According to NOAA (</w:t>
      </w:r>
      <w:hyperlink r:id="rId10" w:history="1">
        <w:r w:rsidRPr="007E244D">
          <w:rPr>
            <w:rStyle w:val="Hyperlink"/>
          </w:rPr>
          <w:t>https://www.noaa.gov/jetstream/atmosphere accessed 1/21/2025</w:t>
        </w:r>
      </w:hyperlink>
      <w:r>
        <w:t xml:space="preserve">) the earth’s atmosphere contains 0.934% </w:t>
      </w:r>
      <w:proofErr w:type="spellStart"/>
      <w:r>
        <w:t>Ar</w:t>
      </w:r>
      <w:proofErr w:type="spellEnd"/>
      <w:r>
        <w:t>, 18.2 ppm Ne, 5.24 ppm He, 1.14 ppm Kr and 0.09 ppm Xe. Given the extremely low abundance of Xe in the atmosphere, why might the authors have chosen to work with this element.</w:t>
      </w:r>
    </w:p>
    <w:p w14:paraId="5E5FA37C" w14:textId="160FC37C" w:rsidR="00B335C9" w:rsidRDefault="00B335C9" w:rsidP="00B335C9">
      <w:pPr>
        <w:ind w:left="720"/>
        <w:jc w:val="center"/>
      </w:pPr>
    </w:p>
    <w:p w14:paraId="2F60E092" w14:textId="12C3E72B" w:rsidR="000F62C2" w:rsidRDefault="00E47C0A" w:rsidP="000F62C2">
      <w:pPr>
        <w:pStyle w:val="ListParagraph"/>
        <w:numPr>
          <w:ilvl w:val="0"/>
          <w:numId w:val="1"/>
        </w:numPr>
      </w:pPr>
      <w:r>
        <w:t xml:space="preserve">Computational Chemistry can be used to estimate thermodynamic parameters, among other characteristics of a molecule. </w:t>
      </w:r>
      <w:r w:rsidR="00404F6D">
        <w:t>Rationalize the following thermodynamic observations (Data in Table 5, for reactions (1), (2), (4) and (6)):</w:t>
      </w:r>
    </w:p>
    <w:p w14:paraId="281A95DD" w14:textId="2645F797" w:rsidR="00404F6D" w:rsidRDefault="00404F6D" w:rsidP="00404F6D">
      <w:pPr>
        <w:pStyle w:val="ListParagraph"/>
        <w:numPr>
          <w:ilvl w:val="1"/>
          <w:numId w:val="1"/>
        </w:numPr>
      </w:pPr>
      <w:r>
        <w:t xml:space="preserve">All </w:t>
      </w:r>
      <w:r>
        <w:sym w:font="Symbol" w:char="F044"/>
      </w:r>
      <w:proofErr w:type="spellStart"/>
      <w:r w:rsidR="000D4B9D">
        <w:t>S</w:t>
      </w:r>
      <w:r w:rsidR="000D4B9D">
        <w:rPr>
          <w:vertAlign w:val="subscript"/>
        </w:rPr>
        <w:t>rxn</w:t>
      </w:r>
      <w:proofErr w:type="spellEnd"/>
      <w:r w:rsidR="000D4B9D">
        <w:t xml:space="preserve"> are negative:</w:t>
      </w:r>
      <w:r w:rsidR="00910B19">
        <w:t xml:space="preserve"> </w:t>
      </w:r>
    </w:p>
    <w:p w14:paraId="1EAD719E" w14:textId="31A57556" w:rsidR="000D4B9D" w:rsidRDefault="000D4B9D" w:rsidP="00404F6D">
      <w:pPr>
        <w:pStyle w:val="ListParagraph"/>
        <w:numPr>
          <w:ilvl w:val="1"/>
          <w:numId w:val="1"/>
        </w:numPr>
      </w:pPr>
      <w:r>
        <w:t>All Binding Energies are negative:</w:t>
      </w:r>
      <w:r w:rsidR="00910B19">
        <w:t xml:space="preserve"> </w:t>
      </w:r>
    </w:p>
    <w:p w14:paraId="0D3D06F8" w14:textId="33933BE9" w:rsidR="0015475A" w:rsidRDefault="0015475A" w:rsidP="00404F6D">
      <w:pPr>
        <w:pStyle w:val="ListParagraph"/>
        <w:numPr>
          <w:ilvl w:val="1"/>
          <w:numId w:val="1"/>
        </w:numPr>
      </w:pPr>
      <w:r>
        <w:t xml:space="preserve">The </w:t>
      </w:r>
      <w:r>
        <w:sym w:font="Symbol" w:char="F044"/>
      </w:r>
      <w:r>
        <w:t>G</w:t>
      </w:r>
      <w:r>
        <w:rPr>
          <w:vertAlign w:val="subscript"/>
        </w:rPr>
        <w:t>T</w:t>
      </w:r>
      <w:r>
        <w:t xml:space="preserve"> of compounds </w:t>
      </w:r>
      <w:r>
        <w:rPr>
          <w:b/>
          <w:bCs/>
        </w:rPr>
        <w:t>2-4</w:t>
      </w:r>
      <w:r>
        <w:rPr>
          <w:b/>
          <w:bCs/>
        </w:rPr>
        <w:softHyphen/>
        <w:t xml:space="preserve"> </w:t>
      </w:r>
      <w:r>
        <w:t xml:space="preserve">are significantly more negative than for compound </w:t>
      </w:r>
      <w:r>
        <w:rPr>
          <w:b/>
          <w:bCs/>
        </w:rPr>
        <w:t>1</w:t>
      </w:r>
      <w:r>
        <w:t>:</w:t>
      </w:r>
      <w:r w:rsidR="00910B19">
        <w:t xml:space="preserve"> </w:t>
      </w:r>
    </w:p>
    <w:p w14:paraId="08C04DB2" w14:textId="6613E962" w:rsidR="00092F0F" w:rsidRPr="00636EF8" w:rsidRDefault="000D4B9D" w:rsidP="006B11F4">
      <w:pPr>
        <w:pStyle w:val="ListParagraph"/>
        <w:numPr>
          <w:ilvl w:val="1"/>
          <w:numId w:val="1"/>
        </w:numPr>
      </w:pPr>
      <w:r>
        <w:t>The experimental protonation enthalpies (</w:t>
      </w:r>
      <w:r>
        <w:sym w:font="Symbol" w:char="F044"/>
      </w:r>
      <w:r>
        <w:t>H</w:t>
      </w:r>
      <w:r w:rsidRPr="00636EF8">
        <w:rPr>
          <w:vertAlign w:val="subscript"/>
        </w:rPr>
        <w:t>i</w:t>
      </w:r>
      <w:r>
        <w:t>)</w:t>
      </w:r>
      <w:r w:rsidR="0015475A">
        <w:t xml:space="preserve"> for compounds </w:t>
      </w:r>
      <w:r w:rsidR="0015475A" w:rsidRPr="00636EF8">
        <w:rPr>
          <w:b/>
          <w:bCs/>
        </w:rPr>
        <w:t xml:space="preserve">1 </w:t>
      </w:r>
      <w:r w:rsidR="0015475A">
        <w:t xml:space="preserve">and </w:t>
      </w:r>
      <w:r w:rsidR="0015475A" w:rsidRPr="00636EF8">
        <w:rPr>
          <w:b/>
          <w:bCs/>
        </w:rPr>
        <w:t>4</w:t>
      </w:r>
      <w:r w:rsidR="0015475A">
        <w:t xml:space="preserve"> are consistent with their binding energies: </w:t>
      </w:r>
    </w:p>
    <w:p w14:paraId="3D405283" w14:textId="77777777" w:rsidR="00636EF8" w:rsidRDefault="00636EF8" w:rsidP="00636EF8">
      <w:pPr>
        <w:pStyle w:val="ListParagraph"/>
        <w:ind w:left="1440"/>
      </w:pPr>
    </w:p>
    <w:p w14:paraId="5DF5ADAB" w14:textId="294427F1" w:rsidR="00092F0F" w:rsidRDefault="00092F0F" w:rsidP="000F62C2">
      <w:pPr>
        <w:pStyle w:val="ListParagraph"/>
        <w:numPr>
          <w:ilvl w:val="0"/>
          <w:numId w:val="1"/>
        </w:numPr>
      </w:pPr>
      <w:r>
        <w:t>Computational Chemistry can also be used to estimate atomic charges using Natural population analysis (NPA).  NPA calculates orbital populations of the molecular orbitals and uses this to provide atomic charges.  It is the method most often used when some ionic character of the bond is suspected. Looking at the NPA atomic charges given in Table 4 for XeO</w:t>
      </w:r>
      <w:r>
        <w:rPr>
          <w:vertAlign w:val="subscript"/>
        </w:rPr>
        <w:t>3</w:t>
      </w:r>
      <w:r>
        <w:t>, which Lewis Structure drawn in question 1) does the calculation best support?  Is that consistent with which resonance structure you preferred in Question 4)?  Why might this calculation have not exactly matched any one Lewis Structure?</w:t>
      </w:r>
    </w:p>
    <w:p w14:paraId="0E1A07D1" w14:textId="77777777" w:rsidR="00092F0F" w:rsidRDefault="00092F0F" w:rsidP="00092F0F"/>
    <w:p w14:paraId="7AA6F203" w14:textId="67AA41FB" w:rsidR="00092F0F" w:rsidRPr="006B255D" w:rsidRDefault="00092F0F" w:rsidP="00092F0F">
      <w:pPr>
        <w:ind w:left="720"/>
        <w:rPr>
          <w:color w:val="FF0000"/>
        </w:rPr>
      </w:pPr>
    </w:p>
    <w:sectPr w:rsidR="00092F0F" w:rsidRPr="006B255D">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04A5A" w14:textId="77777777" w:rsidR="0033404B" w:rsidRDefault="0033404B" w:rsidP="00A967DA">
      <w:r>
        <w:separator/>
      </w:r>
    </w:p>
  </w:endnote>
  <w:endnote w:type="continuationSeparator" w:id="0">
    <w:p w14:paraId="1C1685D2" w14:textId="77777777" w:rsidR="0033404B" w:rsidRDefault="0033404B"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09514" w14:textId="77777777" w:rsidR="0033404B" w:rsidRDefault="0033404B" w:rsidP="00A967DA">
      <w:r>
        <w:separator/>
      </w:r>
    </w:p>
  </w:footnote>
  <w:footnote w:type="continuationSeparator" w:id="0">
    <w:p w14:paraId="0AD4E134" w14:textId="77777777" w:rsidR="0033404B" w:rsidRDefault="0033404B" w:rsidP="00A9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10E4" w14:textId="65B9A270" w:rsidR="00A967DA" w:rsidRPr="00D102C0" w:rsidRDefault="008A0EF0" w:rsidP="00A967DA">
    <w:pPr>
      <w:spacing w:before="75" w:after="75"/>
      <w:outlineLvl w:val="0"/>
      <w:rPr>
        <w:kern w:val="36"/>
      </w:rPr>
    </w:pPr>
    <w:r>
      <w:rPr>
        <w:b/>
      </w:rPr>
      <w:t>Adducts of XeO</w:t>
    </w:r>
    <w:r>
      <w:rPr>
        <w:b/>
        <w:vertAlign w:val="subscript"/>
      </w:rPr>
      <w:t>3</w:t>
    </w:r>
  </w:p>
  <w:p w14:paraId="518FDA36" w14:textId="766006AC" w:rsidR="00A967DA" w:rsidRDefault="00A967DA" w:rsidP="00A967DA">
    <w:pPr>
      <w:pStyle w:val="Header"/>
      <w:rPr>
        <w:rFonts w:cs="Comic Sans MS"/>
        <w:color w:val="000000"/>
        <w:sz w:val="15"/>
        <w:szCs w:val="15"/>
      </w:rPr>
    </w:pPr>
    <w:r>
      <w:rPr>
        <w:rFonts w:cs="Comic Sans MS"/>
        <w:color w:val="000000"/>
        <w:sz w:val="15"/>
        <w:szCs w:val="15"/>
      </w:rPr>
      <w:t>Created by Chip Nataro, Lafayette College (</w:t>
    </w:r>
    <w:hyperlink r:id="rId1" w:history="1">
      <w:r w:rsidR="00E24D37" w:rsidRPr="00FB7F4D">
        <w:rPr>
          <w:rStyle w:val="Hyperlink"/>
          <w:rFonts w:cs="Comic Sans MS"/>
          <w:sz w:val="15"/>
          <w:szCs w:val="15"/>
        </w:rPr>
        <w:t>nataroc@lafayette.edu</w:t>
      </w:r>
    </w:hyperlink>
    <w:r>
      <w:rPr>
        <w:rFonts w:cs="Comic Sans MS"/>
        <w:color w:val="000000"/>
        <w:sz w:val="15"/>
        <w:szCs w:val="15"/>
      </w:rPr>
      <w:t>)</w:t>
    </w:r>
    <w:r w:rsidR="00E24D37">
      <w:rPr>
        <w:rFonts w:cs="Comic Sans MS"/>
        <w:color w:val="000000"/>
        <w:sz w:val="15"/>
        <w:szCs w:val="15"/>
      </w:rPr>
      <w:t xml:space="preserve"> and Lori Watson, Earlham College (watsolo@earlham.edu)</w:t>
    </w:r>
    <w:r>
      <w:rPr>
        <w:rFonts w:cs="Comic Sans MS"/>
        <w:color w:val="000000"/>
        <w:sz w:val="15"/>
        <w:szCs w:val="15"/>
      </w:rPr>
      <w:t xml:space="preserve"> and posted on </w:t>
    </w:r>
    <w:proofErr w:type="spellStart"/>
    <w:r>
      <w:rPr>
        <w:rFonts w:cs="Comic Sans MS"/>
        <w:color w:val="000000"/>
        <w:sz w:val="15"/>
        <w:szCs w:val="15"/>
      </w:rPr>
      <w:t>VIPEr</w:t>
    </w:r>
    <w:proofErr w:type="spellEnd"/>
    <w:r>
      <w:rPr>
        <w:rFonts w:cs="Comic Sans MS"/>
        <w:color w:val="000000"/>
        <w:sz w:val="15"/>
        <w:szCs w:val="15"/>
      </w:rPr>
      <w:t xml:space="preserve"> (w</w:t>
    </w:r>
    <w:r w:rsidR="00551833">
      <w:rPr>
        <w:rFonts w:cs="Comic Sans MS"/>
        <w:color w:val="000000"/>
        <w:sz w:val="15"/>
        <w:szCs w:val="15"/>
      </w:rPr>
      <w:t>w</w:t>
    </w:r>
    <w:r w:rsidR="005B6A8E">
      <w:rPr>
        <w:rFonts w:cs="Comic Sans MS"/>
        <w:color w:val="000000"/>
        <w:sz w:val="15"/>
        <w:szCs w:val="15"/>
      </w:rPr>
      <w:t xml:space="preserve">w.ionicviper.org) on </w:t>
    </w:r>
    <w:r w:rsidR="00E24D37">
      <w:rPr>
        <w:rFonts w:cs="Comic Sans MS"/>
        <w:color w:val="000000"/>
        <w:sz w:val="15"/>
        <w:szCs w:val="15"/>
      </w:rPr>
      <w:t>February 26, 2025</w:t>
    </w:r>
    <w:r w:rsidR="005B6A8E">
      <w:rPr>
        <w:rFonts w:cs="Comic Sans MS"/>
        <w:color w:val="000000"/>
        <w:sz w:val="15"/>
        <w:szCs w:val="15"/>
      </w:rPr>
      <w:t xml:space="preserve">, Copyright Chip Nataro </w:t>
    </w:r>
    <w:r w:rsidR="00E24D37">
      <w:rPr>
        <w:rFonts w:cs="Comic Sans MS"/>
        <w:color w:val="000000"/>
        <w:sz w:val="15"/>
        <w:szCs w:val="15"/>
      </w:rPr>
      <w:t>and Lori Watson</w:t>
    </w:r>
    <w:r>
      <w:rPr>
        <w:rFonts w:cs="Comic Sans MS"/>
        <w:color w:val="000000"/>
        <w:sz w:val="15"/>
        <w:szCs w:val="15"/>
      </w:rPr>
      <w:t xml:space="preserve">. This work is licensed under the Creative Commons Attribution Non-commercial Share Alike International License. To view a copy of this </w:t>
    </w:r>
    <w:r w:rsidR="000B7E34">
      <w:rPr>
        <w:rFonts w:cs="Comic Sans MS"/>
        <w:color w:val="000000"/>
        <w:sz w:val="15"/>
        <w:szCs w:val="15"/>
      </w:rPr>
      <w:t>license,</w:t>
    </w:r>
    <w:r>
      <w:rPr>
        <w:rFonts w:cs="Comic Sans MS"/>
        <w:color w:val="000000"/>
        <w:sz w:val="15"/>
        <w:szCs w:val="15"/>
      </w:rPr>
      <w:t xml:space="preserve"> visit </w:t>
    </w:r>
    <w:r w:rsidRPr="00E602BC">
      <w:rPr>
        <w:rFonts w:cs="Comic Sans MS"/>
        <w:color w:val="000000"/>
        <w:sz w:val="15"/>
        <w:szCs w:val="15"/>
      </w:rPr>
      <w:t>https://creativecommons.org/licenses/by-nc-sa/4.0/</w:t>
    </w:r>
    <w:r>
      <w:rPr>
        <w:rFonts w:cs="Comic Sans MS"/>
        <w:color w:val="000000"/>
        <w:sz w:val="15"/>
        <w:szCs w:val="15"/>
      </w:rPr>
      <w:t>.</w:t>
    </w:r>
  </w:p>
  <w:p w14:paraId="16B32C4D" w14:textId="77777777" w:rsidR="00A967DA" w:rsidRDefault="00A967DA">
    <w:pPr>
      <w:pStyle w:val="Header"/>
    </w:pPr>
  </w:p>
  <w:p w14:paraId="72B741EA" w14:textId="77777777" w:rsidR="00A967DA" w:rsidRDefault="00A96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DE03942"/>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0951234">
    <w:abstractNumId w:val="2"/>
  </w:num>
  <w:num w:numId="2" w16cid:durableId="1373265437">
    <w:abstractNumId w:val="0"/>
  </w:num>
  <w:num w:numId="3" w16cid:durableId="452794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F1"/>
    <w:rsid w:val="000224D0"/>
    <w:rsid w:val="00025328"/>
    <w:rsid w:val="0004691D"/>
    <w:rsid w:val="00046B1D"/>
    <w:rsid w:val="00067500"/>
    <w:rsid w:val="000822F1"/>
    <w:rsid w:val="00082652"/>
    <w:rsid w:val="000831B8"/>
    <w:rsid w:val="0008497A"/>
    <w:rsid w:val="000860EB"/>
    <w:rsid w:val="00086C15"/>
    <w:rsid w:val="00092F0F"/>
    <w:rsid w:val="000A6EF0"/>
    <w:rsid w:val="000B7E34"/>
    <w:rsid w:val="000C1940"/>
    <w:rsid w:val="000D17D6"/>
    <w:rsid w:val="000D39EE"/>
    <w:rsid w:val="000D4B9D"/>
    <w:rsid w:val="000E3396"/>
    <w:rsid w:val="000F175F"/>
    <w:rsid w:val="000F62C2"/>
    <w:rsid w:val="001001BB"/>
    <w:rsid w:val="0010361F"/>
    <w:rsid w:val="0011397C"/>
    <w:rsid w:val="001163CF"/>
    <w:rsid w:val="0012017D"/>
    <w:rsid w:val="0012371D"/>
    <w:rsid w:val="00151177"/>
    <w:rsid w:val="001532EE"/>
    <w:rsid w:val="0015475A"/>
    <w:rsid w:val="00155FD5"/>
    <w:rsid w:val="00156D20"/>
    <w:rsid w:val="001716E4"/>
    <w:rsid w:val="00174781"/>
    <w:rsid w:val="00175BB9"/>
    <w:rsid w:val="001966F8"/>
    <w:rsid w:val="001C53F1"/>
    <w:rsid w:val="001C7ED6"/>
    <w:rsid w:val="001F1141"/>
    <w:rsid w:val="0020408E"/>
    <w:rsid w:val="002142E9"/>
    <w:rsid w:val="002163B3"/>
    <w:rsid w:val="00216EBC"/>
    <w:rsid w:val="0024119A"/>
    <w:rsid w:val="002513B4"/>
    <w:rsid w:val="00267770"/>
    <w:rsid w:val="002777DA"/>
    <w:rsid w:val="00291481"/>
    <w:rsid w:val="002A61F7"/>
    <w:rsid w:val="002B0372"/>
    <w:rsid w:val="002B204D"/>
    <w:rsid w:val="002C4A44"/>
    <w:rsid w:val="00314BA7"/>
    <w:rsid w:val="00317501"/>
    <w:rsid w:val="0033404B"/>
    <w:rsid w:val="003342D6"/>
    <w:rsid w:val="00347904"/>
    <w:rsid w:val="003730A1"/>
    <w:rsid w:val="00380F28"/>
    <w:rsid w:val="003B0392"/>
    <w:rsid w:val="003D080D"/>
    <w:rsid w:val="003E2129"/>
    <w:rsid w:val="003E523E"/>
    <w:rsid w:val="003F51F6"/>
    <w:rsid w:val="003F538D"/>
    <w:rsid w:val="00404F6D"/>
    <w:rsid w:val="00414B2E"/>
    <w:rsid w:val="004162DE"/>
    <w:rsid w:val="00417C6E"/>
    <w:rsid w:val="00421932"/>
    <w:rsid w:val="00433EF4"/>
    <w:rsid w:val="004508EF"/>
    <w:rsid w:val="004571B7"/>
    <w:rsid w:val="00493DB0"/>
    <w:rsid w:val="004B2159"/>
    <w:rsid w:val="004C0ED0"/>
    <w:rsid w:val="004C1B17"/>
    <w:rsid w:val="004D4A88"/>
    <w:rsid w:val="004E5EDF"/>
    <w:rsid w:val="004F0EFA"/>
    <w:rsid w:val="004F2EA0"/>
    <w:rsid w:val="005012DE"/>
    <w:rsid w:val="0051721E"/>
    <w:rsid w:val="005339E5"/>
    <w:rsid w:val="005418F1"/>
    <w:rsid w:val="00550660"/>
    <w:rsid w:val="00551833"/>
    <w:rsid w:val="00565794"/>
    <w:rsid w:val="0056609D"/>
    <w:rsid w:val="0056637B"/>
    <w:rsid w:val="00573F9B"/>
    <w:rsid w:val="005B6A8E"/>
    <w:rsid w:val="005D6CB4"/>
    <w:rsid w:val="005E4ECB"/>
    <w:rsid w:val="00604036"/>
    <w:rsid w:val="006120EA"/>
    <w:rsid w:val="00636EF8"/>
    <w:rsid w:val="006618A0"/>
    <w:rsid w:val="00677D8A"/>
    <w:rsid w:val="00684923"/>
    <w:rsid w:val="00686053"/>
    <w:rsid w:val="006960B4"/>
    <w:rsid w:val="006969D9"/>
    <w:rsid w:val="006A24F9"/>
    <w:rsid w:val="006B255D"/>
    <w:rsid w:val="006D2FF0"/>
    <w:rsid w:val="006E64CC"/>
    <w:rsid w:val="006F2772"/>
    <w:rsid w:val="00707131"/>
    <w:rsid w:val="00724312"/>
    <w:rsid w:val="00725469"/>
    <w:rsid w:val="0077312A"/>
    <w:rsid w:val="00796F41"/>
    <w:rsid w:val="007A38C1"/>
    <w:rsid w:val="007B2970"/>
    <w:rsid w:val="007B2D05"/>
    <w:rsid w:val="007C6BB5"/>
    <w:rsid w:val="007D648E"/>
    <w:rsid w:val="007E6073"/>
    <w:rsid w:val="007F5BB9"/>
    <w:rsid w:val="00800338"/>
    <w:rsid w:val="00831EAE"/>
    <w:rsid w:val="00835239"/>
    <w:rsid w:val="00855CAC"/>
    <w:rsid w:val="00883FAB"/>
    <w:rsid w:val="00893688"/>
    <w:rsid w:val="008A0EF0"/>
    <w:rsid w:val="008B325B"/>
    <w:rsid w:val="008B338E"/>
    <w:rsid w:val="008D08E5"/>
    <w:rsid w:val="008E3FC0"/>
    <w:rsid w:val="008F5946"/>
    <w:rsid w:val="00910B19"/>
    <w:rsid w:val="00923657"/>
    <w:rsid w:val="009271DF"/>
    <w:rsid w:val="009527E2"/>
    <w:rsid w:val="0096349A"/>
    <w:rsid w:val="00972677"/>
    <w:rsid w:val="0098459B"/>
    <w:rsid w:val="009860C2"/>
    <w:rsid w:val="009A6ED2"/>
    <w:rsid w:val="009F64A0"/>
    <w:rsid w:val="00A0522D"/>
    <w:rsid w:val="00A13D4D"/>
    <w:rsid w:val="00A17370"/>
    <w:rsid w:val="00A261D9"/>
    <w:rsid w:val="00A45E9B"/>
    <w:rsid w:val="00A47779"/>
    <w:rsid w:val="00A61494"/>
    <w:rsid w:val="00A771F4"/>
    <w:rsid w:val="00A834A9"/>
    <w:rsid w:val="00A84286"/>
    <w:rsid w:val="00A967DA"/>
    <w:rsid w:val="00AA2DCE"/>
    <w:rsid w:val="00AA3EC1"/>
    <w:rsid w:val="00AC07B2"/>
    <w:rsid w:val="00AC218C"/>
    <w:rsid w:val="00AC4117"/>
    <w:rsid w:val="00AD361D"/>
    <w:rsid w:val="00AD7820"/>
    <w:rsid w:val="00AF2814"/>
    <w:rsid w:val="00AF3D84"/>
    <w:rsid w:val="00B12002"/>
    <w:rsid w:val="00B12415"/>
    <w:rsid w:val="00B169CA"/>
    <w:rsid w:val="00B335C9"/>
    <w:rsid w:val="00B47B0B"/>
    <w:rsid w:val="00B51BC7"/>
    <w:rsid w:val="00B53FC4"/>
    <w:rsid w:val="00B569E9"/>
    <w:rsid w:val="00B774C3"/>
    <w:rsid w:val="00B85FD9"/>
    <w:rsid w:val="00BB0B7A"/>
    <w:rsid w:val="00BB2991"/>
    <w:rsid w:val="00BD67E3"/>
    <w:rsid w:val="00BE65C6"/>
    <w:rsid w:val="00BE6E39"/>
    <w:rsid w:val="00BF5EF7"/>
    <w:rsid w:val="00C034B2"/>
    <w:rsid w:val="00C104B6"/>
    <w:rsid w:val="00C10BF9"/>
    <w:rsid w:val="00C11142"/>
    <w:rsid w:val="00C23C5B"/>
    <w:rsid w:val="00C36341"/>
    <w:rsid w:val="00C44063"/>
    <w:rsid w:val="00C50704"/>
    <w:rsid w:val="00C52F8E"/>
    <w:rsid w:val="00C73D5B"/>
    <w:rsid w:val="00C828BC"/>
    <w:rsid w:val="00C87BCE"/>
    <w:rsid w:val="00CB40FC"/>
    <w:rsid w:val="00CE7382"/>
    <w:rsid w:val="00D1139B"/>
    <w:rsid w:val="00D14C0D"/>
    <w:rsid w:val="00D169EC"/>
    <w:rsid w:val="00D16DA5"/>
    <w:rsid w:val="00D26131"/>
    <w:rsid w:val="00D434CA"/>
    <w:rsid w:val="00D44C4F"/>
    <w:rsid w:val="00D454E1"/>
    <w:rsid w:val="00D874F6"/>
    <w:rsid w:val="00D9476F"/>
    <w:rsid w:val="00DB17A4"/>
    <w:rsid w:val="00DD15E7"/>
    <w:rsid w:val="00DD22DA"/>
    <w:rsid w:val="00DD2613"/>
    <w:rsid w:val="00DE4FA3"/>
    <w:rsid w:val="00DE5CB8"/>
    <w:rsid w:val="00DF46BC"/>
    <w:rsid w:val="00E23219"/>
    <w:rsid w:val="00E24D37"/>
    <w:rsid w:val="00E30FC4"/>
    <w:rsid w:val="00E3170C"/>
    <w:rsid w:val="00E37A45"/>
    <w:rsid w:val="00E41D62"/>
    <w:rsid w:val="00E47C0A"/>
    <w:rsid w:val="00E9330B"/>
    <w:rsid w:val="00E94290"/>
    <w:rsid w:val="00EB1E61"/>
    <w:rsid w:val="00EB3334"/>
    <w:rsid w:val="00EC17DA"/>
    <w:rsid w:val="00EF0613"/>
    <w:rsid w:val="00EF246B"/>
    <w:rsid w:val="00F241F0"/>
    <w:rsid w:val="00F30A10"/>
    <w:rsid w:val="00F37BB4"/>
    <w:rsid w:val="00F60A69"/>
    <w:rsid w:val="00F650FF"/>
    <w:rsid w:val="00F82FE1"/>
    <w:rsid w:val="00F90868"/>
    <w:rsid w:val="00FA26A3"/>
    <w:rsid w:val="00FA5B38"/>
    <w:rsid w:val="00FC18AB"/>
    <w:rsid w:val="00FE2A3B"/>
    <w:rsid w:val="00FE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FD51F"/>
  <w15:chartTrackingRefBased/>
  <w15:docId w15:val="{256CCE4F-EF5A-4FB6-A579-246835E7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7B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609D"/>
    <w:rPr>
      <w:color w:val="808080"/>
    </w:rPr>
  </w:style>
  <w:style w:type="character" w:styleId="CommentReference">
    <w:name w:val="annotation reference"/>
    <w:basedOn w:val="DefaultParagraphFont"/>
    <w:rsid w:val="00BF5EF7"/>
    <w:rPr>
      <w:sz w:val="16"/>
      <w:szCs w:val="16"/>
    </w:rPr>
  </w:style>
  <w:style w:type="paragraph" w:styleId="CommentText">
    <w:name w:val="annotation text"/>
    <w:basedOn w:val="Normal"/>
    <w:link w:val="CommentTextChar"/>
    <w:rsid w:val="00BF5EF7"/>
    <w:rPr>
      <w:sz w:val="20"/>
      <w:szCs w:val="20"/>
    </w:rPr>
  </w:style>
  <w:style w:type="character" w:customStyle="1" w:styleId="CommentTextChar">
    <w:name w:val="Comment Text Char"/>
    <w:basedOn w:val="DefaultParagraphFont"/>
    <w:link w:val="CommentText"/>
    <w:rsid w:val="00BF5EF7"/>
  </w:style>
  <w:style w:type="paragraph" w:styleId="CommentSubject">
    <w:name w:val="annotation subject"/>
    <w:basedOn w:val="CommentText"/>
    <w:next w:val="CommentText"/>
    <w:link w:val="CommentSubjectChar"/>
    <w:rsid w:val="00BF5EF7"/>
    <w:rPr>
      <w:b/>
      <w:bCs/>
    </w:rPr>
  </w:style>
  <w:style w:type="character" w:customStyle="1" w:styleId="CommentSubjectChar">
    <w:name w:val="Comment Subject Char"/>
    <w:basedOn w:val="CommentTextChar"/>
    <w:link w:val="CommentSubject"/>
    <w:rsid w:val="00BF5EF7"/>
    <w:rPr>
      <w:b/>
      <w:bCs/>
    </w:rPr>
  </w:style>
  <w:style w:type="paragraph" w:styleId="BalloonText">
    <w:name w:val="Balloon Text"/>
    <w:basedOn w:val="Normal"/>
    <w:link w:val="BalloonTextChar"/>
    <w:rsid w:val="00BF5EF7"/>
    <w:rPr>
      <w:rFonts w:ascii="Segoe UI" w:hAnsi="Segoe UI" w:cs="Segoe UI"/>
      <w:sz w:val="18"/>
      <w:szCs w:val="18"/>
    </w:rPr>
  </w:style>
  <w:style w:type="character" w:customStyle="1" w:styleId="BalloonTextChar">
    <w:name w:val="Balloon Text Char"/>
    <w:basedOn w:val="DefaultParagraphFont"/>
    <w:link w:val="BalloonText"/>
    <w:rsid w:val="00BF5EF7"/>
    <w:rPr>
      <w:rFonts w:ascii="Segoe UI" w:hAnsi="Segoe UI" w:cs="Segoe UI"/>
      <w:sz w:val="18"/>
      <w:szCs w:val="18"/>
    </w:rPr>
  </w:style>
  <w:style w:type="character" w:styleId="Hyperlink">
    <w:name w:val="Hyperlink"/>
    <w:basedOn w:val="DefaultParagraphFont"/>
    <w:rsid w:val="006E64CC"/>
    <w:rPr>
      <w:color w:val="0563C1" w:themeColor="hyperlink"/>
      <w:u w:val="single"/>
    </w:rPr>
  </w:style>
  <w:style w:type="character" w:styleId="UnresolvedMention">
    <w:name w:val="Unresolved Mention"/>
    <w:basedOn w:val="DefaultParagraphFont"/>
    <w:uiPriority w:val="99"/>
    <w:semiHidden/>
    <w:unhideWhenUsed/>
    <w:rsid w:val="006E64CC"/>
    <w:rPr>
      <w:color w:val="605E5C"/>
      <w:shd w:val="clear" w:color="auto" w:fill="E1DFDD"/>
    </w:rPr>
  </w:style>
  <w:style w:type="paragraph" w:styleId="ListParagraph">
    <w:name w:val="List Paragraph"/>
    <w:basedOn w:val="Normal"/>
    <w:uiPriority w:val="34"/>
    <w:qFormat/>
    <w:rsid w:val="000F62C2"/>
    <w:pPr>
      <w:ind w:left="720"/>
      <w:contextualSpacing/>
    </w:pPr>
  </w:style>
  <w:style w:type="paragraph" w:styleId="FootnoteText">
    <w:name w:val="footnote text"/>
    <w:basedOn w:val="Normal"/>
    <w:link w:val="FootnoteTextChar"/>
    <w:rsid w:val="00910B19"/>
    <w:rPr>
      <w:sz w:val="20"/>
      <w:szCs w:val="20"/>
    </w:rPr>
  </w:style>
  <w:style w:type="character" w:customStyle="1" w:styleId="FootnoteTextChar">
    <w:name w:val="Footnote Text Char"/>
    <w:basedOn w:val="DefaultParagraphFont"/>
    <w:link w:val="FootnoteText"/>
    <w:rsid w:val="00910B19"/>
  </w:style>
  <w:style w:type="character" w:styleId="FootnoteReference">
    <w:name w:val="footnote reference"/>
    <w:basedOn w:val="DefaultParagraphFont"/>
    <w:rsid w:val="00910B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acs.org/articles/103/i1/2025-ACS-National-Award-winners-Part-V.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oaa.gov/jetstream/atmosphere%20accessed%201/21/2025" TargetMode="External"/><Relationship Id="rId4" Type="http://schemas.openxmlformats.org/officeDocument/2006/relationships/settings" Target="settings.xml"/><Relationship Id="rId9" Type="http://schemas.openxmlformats.org/officeDocument/2006/relationships/hyperlink" Target="http://dx.doi.org/10.1021/acs.inorgchem.6b0237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nataroc@lafayet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C727-6165-4C22-821B-CB49D1F8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1549</Words>
  <Characters>7394</Characters>
  <Application>Microsoft Office Word</Application>
  <DocSecurity>0</DocSecurity>
  <Lines>462</Lines>
  <Paragraphs>241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2</cp:revision>
  <dcterms:created xsi:type="dcterms:W3CDTF">2025-02-26T19:02:00Z</dcterms:created>
  <dcterms:modified xsi:type="dcterms:W3CDTF">2025-02-26T19:02:00Z</dcterms:modified>
</cp:coreProperties>
</file>